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left"/>
        <w:textAlignment w:val="auto"/>
        <w:rPr>
          <w:rFonts w:ascii="宋体" w:eastAsia="宋体"/>
          <w:sz w:val="32"/>
          <w:szCs w:val="32"/>
        </w:rPr>
      </w:pP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left"/>
        <w:textAlignment w:val="auto"/>
        <w:rPr>
          <w:rFonts w:ascii="宋体" w:eastAsia="宋体"/>
          <w:sz w:val="44"/>
          <w:szCs w:val="44"/>
        </w:rPr>
      </w:pP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left"/>
        <w:textAlignment w:val="auto"/>
        <w:rPr>
          <w:rFonts w:ascii="宋体" w:eastAsia="宋体"/>
          <w:sz w:val="44"/>
          <w:szCs w:val="44"/>
        </w:rPr>
      </w:pP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left"/>
        <w:textAlignment w:val="auto"/>
        <w:rPr>
          <w:rFonts w:ascii="宋体" w:eastAsia="宋体"/>
          <w:sz w:val="44"/>
          <w:szCs w:val="44"/>
        </w:rPr>
      </w:pP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left"/>
        <w:textAlignment w:val="auto"/>
        <w:rPr>
          <w:rFonts w:ascii="宋体" w:eastAsia="宋体"/>
          <w:sz w:val="44"/>
          <w:szCs w:val="44"/>
        </w:rPr>
      </w:pPr>
    </w:p>
    <w:p>
      <w:pPr>
        <w:keepNext w:val="0"/>
        <w:keepLines w:val="0"/>
        <w:pageBreakBefore w:val="0"/>
        <w:widowControl w:val="0"/>
        <w:kinsoku/>
        <w:wordWrap/>
        <w:overflowPunct/>
        <w:topLinePunct w:val="0"/>
        <w:autoSpaceDE/>
        <w:autoSpaceDN/>
        <w:bidi w:val="0"/>
        <w:adjustRightInd/>
        <w:snapToGrid/>
        <w:spacing w:after="0" w:line="560" w:lineRule="exact"/>
        <w:jc w:val="center"/>
        <w:textAlignment w:val="auto"/>
        <w:rPr>
          <w:rFonts w:hint="eastAsia" w:ascii="方正小标宋_GBK" w:hAnsi="宋体" w:eastAsia="方正小标宋_GBK" w:cs="Times New Roman"/>
          <w:kern w:val="2"/>
          <w:sz w:val="44"/>
          <w:szCs w:val="44"/>
          <w:highlight w:val="none"/>
          <w:lang w:eastAsia="zh-CN"/>
        </w:rPr>
      </w:pPr>
      <w:r>
        <w:rPr>
          <w:rFonts w:hint="eastAsia" w:ascii="方正小标宋_GBK" w:hAnsi="宋体" w:eastAsia="方正小标宋_GBK" w:cs="Times New Roman"/>
          <w:kern w:val="2"/>
          <w:sz w:val="44"/>
          <w:szCs w:val="44"/>
          <w:highlight w:val="none"/>
          <w:lang w:eastAsia="zh-CN"/>
        </w:rPr>
        <w:t>新疆维吾尔自治区文化馆2024年度</w:t>
      </w:r>
    </w:p>
    <w:p>
      <w:pPr>
        <w:keepNext w:val="0"/>
        <w:keepLines w:val="0"/>
        <w:pageBreakBefore w:val="0"/>
        <w:widowControl w:val="0"/>
        <w:kinsoku/>
        <w:wordWrap/>
        <w:overflowPunct/>
        <w:topLinePunct w:val="0"/>
        <w:autoSpaceDE/>
        <w:autoSpaceDN/>
        <w:bidi w:val="0"/>
        <w:adjustRightInd/>
        <w:snapToGrid/>
        <w:spacing w:after="0" w:line="560" w:lineRule="exact"/>
        <w:jc w:val="center"/>
        <w:textAlignment w:val="auto"/>
        <w:rPr>
          <w:rFonts w:ascii="黑体" w:eastAsia="黑体"/>
          <w:sz w:val="44"/>
          <w:szCs w:val="44"/>
        </w:rPr>
      </w:pPr>
      <w:r>
        <w:rPr>
          <w:rFonts w:hint="eastAsia" w:ascii="方正小标宋_GBK" w:hAnsi="宋体" w:eastAsia="方正小标宋_GBK" w:cs="Times New Roman"/>
          <w:kern w:val="2"/>
          <w:sz w:val="44"/>
          <w:szCs w:val="44"/>
          <w:highlight w:val="none"/>
          <w:lang w:eastAsia="zh-CN"/>
        </w:rPr>
        <w:t>部门决算公开说明</w:t>
      </w:r>
    </w:p>
    <w:p>
      <w:pPr>
        <w:keepNext w:val="0"/>
        <w:keepLines w:val="0"/>
        <w:pageBreakBefore w:val="0"/>
        <w:widowControl/>
        <w:kinsoku/>
        <w:wordWrap/>
        <w:overflowPunct/>
        <w:topLinePunct w:val="0"/>
        <w:autoSpaceDE/>
        <w:autoSpaceDN/>
        <w:bidi w:val="0"/>
        <w:adjustRightInd/>
        <w:snapToGrid/>
        <w:spacing w:line="560" w:lineRule="exact"/>
        <w:textAlignment w:val="auto"/>
      </w:pPr>
      <w:r>
        <w:rPr>
          <w:b w:val="0"/>
          <w:sz w:val="0"/>
          <w:szCs w:val="0"/>
        </w:rPr>
        <w:br w:type="page"/>
      </w:r>
    </w:p>
    <w:p>
      <w:pPr>
        <w:keepNext w:val="0"/>
        <w:keepLines w:val="0"/>
        <w:pageBreakBefore w:val="0"/>
        <w:widowControl/>
        <w:kinsoku/>
        <w:wordWrap/>
        <w:overflowPunct/>
        <w:topLinePunct w:val="0"/>
        <w:autoSpaceDE/>
        <w:autoSpaceDN/>
        <w:bidi w:val="0"/>
        <w:adjustRightInd/>
        <w:snapToGrid/>
        <w:spacing w:after="0" w:line="560" w:lineRule="exact"/>
        <w:jc w:val="center"/>
        <w:textAlignment w:val="auto"/>
        <w:rPr>
          <w:rFonts w:hint="eastAsia" w:ascii="仿宋_GB2312" w:hAnsi="仿宋_GB2312" w:eastAsia="仿宋_GB2312" w:cs="仿宋_GB2312"/>
          <w:sz w:val="36"/>
          <w:szCs w:val="36"/>
        </w:rPr>
      </w:pPr>
      <w:bookmarkStart w:id="0" w:name="_Toc24028"/>
      <w:r>
        <w:rPr>
          <w:rFonts w:hint="eastAsia" w:ascii="仿宋_GB2312" w:hAnsi="仿宋_GB2312" w:eastAsia="仿宋_GB2312" w:cs="仿宋_GB2312"/>
          <w:b/>
          <w:sz w:val="36"/>
          <w:szCs w:val="36"/>
        </w:rPr>
        <w:t>目</w:t>
      </w:r>
      <w:r>
        <w:rPr>
          <w:rFonts w:hint="eastAsia" w:ascii="仿宋_GB2312" w:hAnsi="仿宋_GB2312" w:eastAsia="仿宋_GB2312" w:cs="仿宋_GB2312"/>
          <w:b/>
          <w:sz w:val="36"/>
          <w:szCs w:val="36"/>
          <w:lang w:val="en-US" w:eastAsia="zh-CN"/>
        </w:rPr>
        <w:t xml:space="preserve"> </w:t>
      </w:r>
      <w:r>
        <w:rPr>
          <w:rFonts w:hint="eastAsia" w:ascii="仿宋_GB2312" w:hAnsi="仿宋_GB2312" w:eastAsia="仿宋_GB2312" w:cs="仿宋_GB2312"/>
          <w:b/>
          <w:sz w:val="36"/>
          <w:szCs w:val="36"/>
        </w:rPr>
        <w:t>录</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ascii="仿宋_GB2312" w:eastAsia="仿宋_GB2312"/>
          <w:sz w:val="32"/>
          <w:szCs w:val="32"/>
        </w:rPr>
      </w:pPr>
      <w:r>
        <w:rPr>
          <w:rFonts w:ascii="仿宋_GB2312" w:eastAsia="仿宋_GB2312"/>
          <w:b/>
          <w:sz w:val="32"/>
          <w:szCs w:val="32"/>
        </w:rPr>
        <w:t>第一部分</w:t>
      </w:r>
      <w:r>
        <w:rPr>
          <w:rFonts w:hint="eastAsia" w:ascii="仿宋_GB2312" w:eastAsia="仿宋_GB2312"/>
          <w:b/>
          <w:sz w:val="32"/>
          <w:szCs w:val="32"/>
          <w:lang w:val="en-US" w:eastAsia="zh-CN"/>
        </w:rPr>
        <w:t xml:space="preserve"> </w:t>
      </w:r>
      <w:r>
        <w:rPr>
          <w:rFonts w:ascii="仿宋_GB2312" w:eastAsia="仿宋_GB2312"/>
          <w:b/>
          <w:sz w:val="32"/>
          <w:szCs w:val="32"/>
        </w:rPr>
        <w:t>单位概况</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ascii="仿宋_GB2312" w:eastAsia="仿宋_GB2312"/>
          <w:sz w:val="32"/>
          <w:szCs w:val="32"/>
        </w:rPr>
      </w:pPr>
      <w:r>
        <w:rPr>
          <w:rFonts w:ascii="仿宋_GB2312" w:eastAsia="仿宋_GB2312"/>
          <w:sz w:val="32"/>
          <w:szCs w:val="32"/>
        </w:rPr>
        <w:t>一、主要职能</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ascii="仿宋_GB2312" w:eastAsia="仿宋_GB2312"/>
          <w:sz w:val="32"/>
          <w:szCs w:val="32"/>
        </w:rPr>
      </w:pPr>
      <w:r>
        <w:rPr>
          <w:rFonts w:ascii="仿宋_GB2312" w:eastAsia="仿宋_GB2312"/>
          <w:sz w:val="32"/>
          <w:szCs w:val="32"/>
        </w:rPr>
        <w:t>二、机构设置及人员情况</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ascii="仿宋_GB2312" w:eastAsia="仿宋_GB2312"/>
          <w:sz w:val="32"/>
          <w:szCs w:val="32"/>
        </w:rPr>
      </w:pPr>
      <w:r>
        <w:rPr>
          <w:rFonts w:ascii="仿宋_GB2312" w:eastAsia="仿宋_GB2312"/>
          <w:b/>
          <w:sz w:val="32"/>
          <w:szCs w:val="32"/>
        </w:rPr>
        <w:t>第二部分</w:t>
      </w:r>
      <w:r>
        <w:rPr>
          <w:rFonts w:hint="eastAsia" w:ascii="仿宋_GB2312" w:eastAsia="仿宋_GB2312"/>
          <w:b/>
          <w:sz w:val="32"/>
          <w:szCs w:val="32"/>
          <w:lang w:val="en-US" w:eastAsia="zh-CN"/>
        </w:rPr>
        <w:t xml:space="preserve"> </w:t>
      </w:r>
      <w:r>
        <w:rPr>
          <w:rFonts w:ascii="仿宋_GB2312" w:eastAsia="仿宋_GB2312"/>
          <w:b/>
          <w:sz w:val="32"/>
          <w:szCs w:val="32"/>
        </w:rPr>
        <w:t>部门决算情况说明</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ascii="仿宋_GB2312" w:eastAsia="仿宋_GB2312"/>
          <w:sz w:val="32"/>
          <w:szCs w:val="32"/>
        </w:rPr>
      </w:pPr>
      <w:r>
        <w:rPr>
          <w:rFonts w:ascii="仿宋_GB2312" w:eastAsia="仿宋_GB2312"/>
          <w:sz w:val="32"/>
          <w:szCs w:val="32"/>
        </w:rPr>
        <w:t>一、收入支出决算总体情况说明</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ascii="仿宋_GB2312" w:eastAsia="仿宋_GB2312"/>
          <w:sz w:val="32"/>
          <w:szCs w:val="32"/>
        </w:rPr>
      </w:pPr>
      <w:r>
        <w:rPr>
          <w:rFonts w:ascii="仿宋_GB2312" w:eastAsia="仿宋_GB2312"/>
          <w:sz w:val="32"/>
          <w:szCs w:val="32"/>
        </w:rPr>
        <w:t>二、收入决算情况说明</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ascii="仿宋_GB2312" w:eastAsia="仿宋_GB2312"/>
          <w:sz w:val="32"/>
          <w:szCs w:val="32"/>
        </w:rPr>
      </w:pPr>
      <w:r>
        <w:rPr>
          <w:rFonts w:ascii="仿宋_GB2312" w:eastAsia="仿宋_GB2312"/>
          <w:sz w:val="32"/>
          <w:szCs w:val="32"/>
        </w:rPr>
        <w:t>三、支出决算情况说明</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ascii="仿宋_GB2312" w:eastAsia="仿宋_GB2312"/>
          <w:sz w:val="32"/>
          <w:szCs w:val="32"/>
        </w:rPr>
      </w:pPr>
      <w:r>
        <w:rPr>
          <w:rFonts w:ascii="仿宋_GB2312" w:eastAsia="仿宋_GB2312"/>
          <w:sz w:val="32"/>
          <w:szCs w:val="32"/>
        </w:rPr>
        <w:t>四、财政拨款收入支出决算总体情况说明</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ascii="仿宋_GB2312" w:eastAsia="仿宋_GB2312"/>
          <w:sz w:val="32"/>
          <w:szCs w:val="32"/>
        </w:rPr>
      </w:pPr>
      <w:r>
        <w:rPr>
          <w:rFonts w:ascii="仿宋_GB2312" w:eastAsia="仿宋_GB2312"/>
          <w:sz w:val="32"/>
          <w:szCs w:val="32"/>
        </w:rPr>
        <w:t>五、一般公共预算财政拨款支出决算情况说明</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ascii="仿宋_GB2312" w:eastAsia="仿宋_GB2312"/>
          <w:sz w:val="32"/>
          <w:szCs w:val="32"/>
        </w:rPr>
      </w:pPr>
      <w:r>
        <w:rPr>
          <w:rFonts w:ascii="仿宋_GB2312" w:eastAsia="仿宋_GB2312"/>
          <w:sz w:val="32"/>
          <w:szCs w:val="32"/>
        </w:rPr>
        <w:t>（一）一般公共预算财政拨款支出决算总体情况</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ascii="仿宋_GB2312" w:eastAsia="仿宋_GB2312"/>
          <w:sz w:val="32"/>
          <w:szCs w:val="32"/>
        </w:rPr>
      </w:pPr>
      <w:r>
        <w:rPr>
          <w:rFonts w:ascii="仿宋_GB2312" w:eastAsia="仿宋_GB2312"/>
          <w:sz w:val="32"/>
          <w:szCs w:val="32"/>
        </w:rPr>
        <w:t>（二）一般公共预算财政拨款支出决算结构情况</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ascii="仿宋_GB2312" w:eastAsia="仿宋_GB2312"/>
          <w:sz w:val="32"/>
          <w:szCs w:val="32"/>
        </w:rPr>
      </w:pPr>
      <w:r>
        <w:rPr>
          <w:rFonts w:ascii="仿宋_GB2312" w:eastAsia="仿宋_GB2312"/>
          <w:sz w:val="32"/>
          <w:szCs w:val="32"/>
        </w:rPr>
        <w:t>（三）一般公共预算财政拨款支出决算具体情况</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ascii="仿宋_GB2312" w:eastAsia="仿宋_GB2312"/>
          <w:sz w:val="32"/>
          <w:szCs w:val="32"/>
        </w:rPr>
      </w:pPr>
      <w:r>
        <w:rPr>
          <w:rFonts w:ascii="仿宋_GB2312" w:eastAsia="仿宋_GB2312"/>
          <w:sz w:val="32"/>
          <w:szCs w:val="32"/>
        </w:rPr>
        <w:t>六、一般公共预算财政拨款基本支出决算情况说明</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ascii="仿宋_GB2312" w:eastAsia="仿宋_GB2312"/>
          <w:sz w:val="32"/>
          <w:szCs w:val="32"/>
        </w:rPr>
      </w:pPr>
      <w:r>
        <w:rPr>
          <w:rFonts w:ascii="仿宋_GB2312" w:eastAsia="仿宋_GB2312"/>
          <w:sz w:val="32"/>
          <w:szCs w:val="32"/>
        </w:rPr>
        <w:t>七、政府性基金预算财政拨款收入支出决算情况说明</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ascii="仿宋_GB2312" w:eastAsia="仿宋_GB2312"/>
          <w:sz w:val="32"/>
          <w:szCs w:val="32"/>
        </w:rPr>
      </w:pPr>
      <w:r>
        <w:rPr>
          <w:rFonts w:ascii="仿宋_GB2312" w:eastAsia="仿宋_GB2312"/>
          <w:sz w:val="32"/>
          <w:szCs w:val="32"/>
        </w:rPr>
        <w:t>八、国有资本经营预算财政拨款收入支出决算情况说明</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ascii="仿宋_GB2312" w:eastAsia="仿宋_GB2312"/>
          <w:sz w:val="32"/>
          <w:szCs w:val="32"/>
        </w:rPr>
      </w:pPr>
      <w:r>
        <w:rPr>
          <w:rFonts w:ascii="仿宋_GB2312" w:eastAsia="仿宋_GB2312"/>
          <w:sz w:val="32"/>
          <w:szCs w:val="32"/>
        </w:rPr>
        <w:t>九、财政拨款</w:t>
      </w:r>
      <w:r>
        <w:rPr>
          <w:rFonts w:hint="eastAsia" w:ascii="仿宋_GB2312" w:eastAsia="仿宋_GB2312"/>
          <w:sz w:val="32"/>
          <w:szCs w:val="32"/>
          <w:lang w:eastAsia="zh-CN"/>
        </w:rPr>
        <w:t>“</w:t>
      </w:r>
      <w:r>
        <w:rPr>
          <w:rFonts w:ascii="仿宋_GB2312" w:eastAsia="仿宋_GB2312"/>
          <w:sz w:val="32"/>
          <w:szCs w:val="32"/>
        </w:rPr>
        <w:t>三公</w:t>
      </w:r>
      <w:r>
        <w:rPr>
          <w:rFonts w:hint="eastAsia" w:ascii="仿宋_GB2312" w:eastAsia="仿宋_GB2312"/>
          <w:sz w:val="32"/>
          <w:szCs w:val="32"/>
          <w:lang w:eastAsia="zh-CN"/>
        </w:rPr>
        <w:t>”</w:t>
      </w:r>
      <w:r>
        <w:rPr>
          <w:rFonts w:ascii="仿宋_GB2312" w:eastAsia="仿宋_GB2312"/>
          <w:sz w:val="32"/>
          <w:szCs w:val="32"/>
        </w:rPr>
        <w:t>经费支出决算情况说明</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ascii="仿宋_GB2312" w:eastAsia="仿宋_GB2312"/>
          <w:sz w:val="32"/>
          <w:szCs w:val="32"/>
        </w:rPr>
      </w:pPr>
      <w:r>
        <w:rPr>
          <w:rFonts w:ascii="仿宋_GB2312" w:eastAsia="仿宋_GB2312"/>
          <w:sz w:val="32"/>
          <w:szCs w:val="32"/>
        </w:rPr>
        <w:t>十、其他重要事项的情况说明</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ascii="仿宋_GB2312" w:eastAsia="仿宋_GB2312"/>
          <w:sz w:val="32"/>
          <w:szCs w:val="32"/>
        </w:rPr>
      </w:pPr>
      <w:r>
        <w:rPr>
          <w:rFonts w:ascii="仿宋_GB2312" w:eastAsia="仿宋_GB2312"/>
          <w:sz w:val="32"/>
          <w:szCs w:val="32"/>
        </w:rPr>
        <w:t>（一）机关运行经费及公用经费支出情况</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ascii="仿宋_GB2312" w:eastAsia="仿宋_GB2312"/>
          <w:sz w:val="32"/>
          <w:szCs w:val="32"/>
        </w:rPr>
      </w:pPr>
      <w:r>
        <w:rPr>
          <w:rFonts w:ascii="仿宋_GB2312" w:eastAsia="仿宋_GB2312"/>
          <w:sz w:val="32"/>
          <w:szCs w:val="32"/>
        </w:rPr>
        <w:t>（二）政府采购情况</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ascii="仿宋_GB2312" w:eastAsia="仿宋_GB2312"/>
          <w:sz w:val="32"/>
          <w:szCs w:val="32"/>
        </w:rPr>
      </w:pPr>
      <w:r>
        <w:rPr>
          <w:rFonts w:ascii="仿宋_GB2312" w:eastAsia="仿宋_GB2312"/>
          <w:sz w:val="32"/>
          <w:szCs w:val="32"/>
        </w:rPr>
        <w:t>（三）国有资产占用情况说明</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ascii="仿宋_GB2312" w:eastAsia="仿宋_GB2312"/>
          <w:sz w:val="32"/>
          <w:szCs w:val="32"/>
        </w:rPr>
      </w:pPr>
      <w:r>
        <w:rPr>
          <w:rFonts w:ascii="仿宋_GB2312" w:eastAsia="仿宋_GB2312"/>
          <w:sz w:val="32"/>
          <w:szCs w:val="32"/>
        </w:rPr>
        <w:t>十一、预算绩效的情况说明</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ascii="仿宋_GB2312" w:eastAsia="仿宋_GB2312"/>
          <w:sz w:val="32"/>
          <w:szCs w:val="32"/>
        </w:rPr>
      </w:pPr>
      <w:r>
        <w:rPr>
          <w:rFonts w:ascii="仿宋_GB2312" w:eastAsia="仿宋_GB2312"/>
          <w:sz w:val="32"/>
          <w:szCs w:val="32"/>
        </w:rPr>
        <w:t>十二、其他需说明的事项</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ascii="仿宋_GB2312" w:eastAsia="仿宋_GB2312"/>
          <w:sz w:val="32"/>
          <w:szCs w:val="32"/>
        </w:rPr>
      </w:pPr>
      <w:r>
        <w:rPr>
          <w:rFonts w:ascii="仿宋_GB2312" w:eastAsia="仿宋_GB2312"/>
          <w:b/>
          <w:sz w:val="32"/>
          <w:szCs w:val="32"/>
        </w:rPr>
        <w:t>第三部分</w:t>
      </w:r>
      <w:r>
        <w:rPr>
          <w:rFonts w:hint="eastAsia" w:ascii="仿宋_GB2312" w:eastAsia="仿宋_GB2312"/>
          <w:b/>
          <w:sz w:val="32"/>
          <w:szCs w:val="32"/>
          <w:lang w:val="en-US" w:eastAsia="zh-CN"/>
        </w:rPr>
        <w:t xml:space="preserve"> </w:t>
      </w:r>
      <w:r>
        <w:rPr>
          <w:rFonts w:ascii="仿宋_GB2312" w:eastAsia="仿宋_GB2312"/>
          <w:b/>
          <w:sz w:val="32"/>
          <w:szCs w:val="32"/>
        </w:rPr>
        <w:t>专业名词解释</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ascii="仿宋_GB2312" w:eastAsia="仿宋_GB2312"/>
          <w:sz w:val="32"/>
          <w:szCs w:val="32"/>
        </w:rPr>
      </w:pPr>
      <w:r>
        <w:rPr>
          <w:rFonts w:ascii="仿宋_GB2312" w:eastAsia="仿宋_GB2312"/>
          <w:b/>
          <w:sz w:val="32"/>
          <w:szCs w:val="32"/>
        </w:rPr>
        <w:t>第四部分</w:t>
      </w:r>
      <w:r>
        <w:rPr>
          <w:rFonts w:hint="eastAsia" w:ascii="仿宋_GB2312" w:eastAsia="仿宋_GB2312"/>
          <w:b/>
          <w:sz w:val="32"/>
          <w:szCs w:val="32"/>
          <w:lang w:val="en-US" w:eastAsia="zh-CN"/>
        </w:rPr>
        <w:t xml:space="preserve"> </w:t>
      </w:r>
      <w:r>
        <w:rPr>
          <w:rFonts w:ascii="仿宋_GB2312" w:eastAsia="仿宋_GB2312"/>
          <w:b/>
          <w:sz w:val="32"/>
          <w:szCs w:val="32"/>
        </w:rPr>
        <w:t>部门决算报表（见附</w:t>
      </w:r>
      <w:r>
        <w:rPr>
          <w:rFonts w:hint="eastAsia" w:ascii="仿宋_GB2312" w:eastAsia="仿宋_GB2312"/>
          <w:b/>
          <w:sz w:val="32"/>
          <w:szCs w:val="32"/>
          <w:lang w:val="en-US" w:eastAsia="zh-CN"/>
        </w:rPr>
        <w:t>件1</w:t>
      </w:r>
      <w:r>
        <w:rPr>
          <w:rFonts w:ascii="仿宋_GB2312" w:eastAsia="仿宋_GB2312"/>
          <w:b/>
          <w:sz w:val="32"/>
          <w:szCs w:val="32"/>
        </w:rPr>
        <w:t>）</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ascii="仿宋_GB2312" w:eastAsia="仿宋_GB2312"/>
          <w:sz w:val="32"/>
          <w:szCs w:val="32"/>
        </w:rPr>
      </w:pPr>
      <w:r>
        <w:rPr>
          <w:rFonts w:ascii="仿宋_GB2312" w:eastAsia="仿宋_GB2312"/>
          <w:sz w:val="32"/>
          <w:szCs w:val="32"/>
        </w:rPr>
        <w:t>一、《收入支出决算总表》</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ascii="仿宋_GB2312" w:eastAsia="仿宋_GB2312"/>
          <w:sz w:val="32"/>
          <w:szCs w:val="32"/>
        </w:rPr>
      </w:pPr>
      <w:r>
        <w:rPr>
          <w:rFonts w:ascii="仿宋_GB2312" w:eastAsia="仿宋_GB2312"/>
          <w:sz w:val="32"/>
          <w:szCs w:val="32"/>
        </w:rPr>
        <w:t>二、《收入决算表》</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ascii="仿宋_GB2312" w:eastAsia="仿宋_GB2312"/>
          <w:sz w:val="32"/>
          <w:szCs w:val="32"/>
        </w:rPr>
      </w:pPr>
      <w:r>
        <w:rPr>
          <w:rFonts w:ascii="仿宋_GB2312" w:eastAsia="仿宋_GB2312"/>
          <w:sz w:val="32"/>
          <w:szCs w:val="32"/>
        </w:rPr>
        <w:t>三、《支出决算表》</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ascii="仿宋_GB2312" w:eastAsia="仿宋_GB2312"/>
          <w:sz w:val="32"/>
          <w:szCs w:val="32"/>
        </w:rPr>
      </w:pPr>
      <w:r>
        <w:rPr>
          <w:rFonts w:ascii="仿宋_GB2312" w:eastAsia="仿宋_GB2312"/>
          <w:sz w:val="32"/>
          <w:szCs w:val="32"/>
        </w:rPr>
        <w:t>四、《财政拨款收入支出决算总表》</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ascii="仿宋_GB2312" w:eastAsia="仿宋_GB2312"/>
          <w:sz w:val="32"/>
          <w:szCs w:val="32"/>
        </w:rPr>
      </w:pPr>
      <w:r>
        <w:rPr>
          <w:rFonts w:ascii="仿宋_GB2312" w:eastAsia="仿宋_GB2312"/>
          <w:sz w:val="32"/>
          <w:szCs w:val="32"/>
        </w:rPr>
        <w:t>五、《一般公共预算财政拨款支出决算表》</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ascii="仿宋_GB2312" w:eastAsia="仿宋_GB2312"/>
          <w:sz w:val="32"/>
          <w:szCs w:val="32"/>
        </w:rPr>
      </w:pPr>
      <w:r>
        <w:rPr>
          <w:rFonts w:ascii="仿宋_GB2312" w:eastAsia="仿宋_GB2312"/>
          <w:sz w:val="32"/>
          <w:szCs w:val="32"/>
        </w:rPr>
        <w:t>六、《一般公共预算财政拨款基本支出决算表》</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ascii="仿宋_GB2312" w:eastAsia="仿宋_GB2312"/>
          <w:sz w:val="32"/>
          <w:szCs w:val="32"/>
        </w:rPr>
      </w:pPr>
      <w:r>
        <w:rPr>
          <w:rFonts w:ascii="仿宋_GB2312" w:eastAsia="仿宋_GB2312"/>
          <w:sz w:val="32"/>
          <w:szCs w:val="32"/>
        </w:rPr>
        <w:t>七、《政府性基金预算财政拨款收入支出决算表》</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ascii="仿宋_GB2312" w:eastAsia="仿宋_GB2312"/>
          <w:sz w:val="32"/>
          <w:szCs w:val="32"/>
        </w:rPr>
      </w:pPr>
      <w:r>
        <w:rPr>
          <w:rFonts w:ascii="仿宋_GB2312" w:eastAsia="仿宋_GB2312"/>
          <w:sz w:val="32"/>
          <w:szCs w:val="32"/>
        </w:rPr>
        <w:t>八、《国有资本经营预算财政拨款收入支出决算表》</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ascii="仿宋_GB2312" w:eastAsia="仿宋_GB2312"/>
          <w:sz w:val="32"/>
          <w:szCs w:val="32"/>
        </w:rPr>
      </w:pPr>
      <w:r>
        <w:rPr>
          <w:rFonts w:ascii="仿宋_GB2312" w:eastAsia="仿宋_GB2312"/>
          <w:sz w:val="32"/>
          <w:szCs w:val="32"/>
        </w:rPr>
        <w:t>九、《财政拨款</w:t>
      </w:r>
      <w:r>
        <w:rPr>
          <w:rFonts w:hint="eastAsia" w:ascii="仿宋_GB2312" w:eastAsia="仿宋_GB2312"/>
          <w:sz w:val="32"/>
          <w:szCs w:val="32"/>
          <w:lang w:eastAsia="zh-CN"/>
        </w:rPr>
        <w:t>“</w:t>
      </w:r>
      <w:r>
        <w:rPr>
          <w:rFonts w:ascii="仿宋_GB2312" w:eastAsia="仿宋_GB2312"/>
          <w:sz w:val="32"/>
          <w:szCs w:val="32"/>
        </w:rPr>
        <w:t>三公</w:t>
      </w:r>
      <w:r>
        <w:rPr>
          <w:rFonts w:hint="eastAsia" w:ascii="仿宋_GB2312" w:eastAsia="仿宋_GB2312"/>
          <w:sz w:val="32"/>
          <w:szCs w:val="32"/>
          <w:lang w:eastAsia="zh-CN"/>
        </w:rPr>
        <w:t>”</w:t>
      </w:r>
      <w:r>
        <w:rPr>
          <w:rFonts w:ascii="仿宋_GB2312" w:eastAsia="仿宋_GB2312"/>
          <w:sz w:val="32"/>
          <w:szCs w:val="32"/>
        </w:rPr>
        <w:t>经费支出决算表》</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ascii="仿宋_GB2312" w:eastAsia="仿宋_GB2312"/>
          <w:sz w:val="32"/>
          <w:szCs w:val="32"/>
        </w:rPr>
      </w:pPr>
      <w:r>
        <w:rPr>
          <w:rFonts w:ascii="仿宋_GB2312" w:eastAsia="仿宋_GB2312"/>
          <w:b/>
          <w:sz w:val="32"/>
          <w:szCs w:val="32"/>
        </w:rPr>
        <w:t>第</w:t>
      </w:r>
      <w:r>
        <w:rPr>
          <w:rFonts w:hint="eastAsia" w:ascii="仿宋_GB2312" w:eastAsia="仿宋_GB2312"/>
          <w:b/>
          <w:sz w:val="32"/>
          <w:szCs w:val="32"/>
          <w:lang w:val="en-US" w:eastAsia="zh-CN"/>
        </w:rPr>
        <w:t>五</w:t>
      </w:r>
      <w:r>
        <w:rPr>
          <w:rFonts w:ascii="仿宋_GB2312" w:eastAsia="仿宋_GB2312"/>
          <w:b/>
          <w:sz w:val="32"/>
          <w:szCs w:val="32"/>
        </w:rPr>
        <w:t>部分</w:t>
      </w:r>
      <w:r>
        <w:rPr>
          <w:rFonts w:hint="eastAsia" w:ascii="仿宋_GB2312" w:eastAsia="仿宋_GB2312"/>
          <w:b/>
          <w:sz w:val="32"/>
          <w:szCs w:val="32"/>
          <w:lang w:val="en-US" w:eastAsia="zh-CN"/>
        </w:rPr>
        <w:t xml:space="preserve"> 项目绩效自评表</w:t>
      </w:r>
      <w:r>
        <w:rPr>
          <w:rFonts w:ascii="仿宋_GB2312" w:eastAsia="仿宋_GB2312"/>
          <w:b/>
          <w:sz w:val="32"/>
          <w:szCs w:val="32"/>
        </w:rPr>
        <w:t>（见附</w:t>
      </w:r>
      <w:r>
        <w:rPr>
          <w:rFonts w:hint="eastAsia" w:ascii="仿宋_GB2312" w:eastAsia="仿宋_GB2312"/>
          <w:b/>
          <w:sz w:val="32"/>
          <w:szCs w:val="32"/>
          <w:lang w:val="en-US" w:eastAsia="zh-CN"/>
        </w:rPr>
        <w:t>件2</w:t>
      </w:r>
      <w:r>
        <w:rPr>
          <w:rFonts w:ascii="仿宋_GB2312" w:eastAsia="仿宋_GB2312"/>
          <w:b/>
          <w:sz w:val="32"/>
          <w:szCs w:val="32"/>
        </w:rPr>
        <w:t>）</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both"/>
        <w:textAlignment w:val="auto"/>
        <w:outlineLvl w:val="0"/>
        <w:rPr>
          <w:rFonts w:hint="eastAsia" w:ascii="黑体" w:hAnsi="黑体" w:eastAsia="黑体"/>
          <w:sz w:val="32"/>
          <w:szCs w:val="32"/>
          <w:highlight w:val="none"/>
        </w:rPr>
      </w:pP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both"/>
        <w:textAlignment w:val="auto"/>
        <w:outlineLvl w:val="0"/>
        <w:rPr>
          <w:rFonts w:hint="eastAsia" w:ascii="黑体" w:hAnsi="黑体" w:eastAsia="黑体"/>
          <w:sz w:val="32"/>
          <w:szCs w:val="32"/>
          <w:highlight w:val="none"/>
        </w:rPr>
      </w:pP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both"/>
        <w:textAlignment w:val="auto"/>
        <w:outlineLvl w:val="0"/>
        <w:rPr>
          <w:rFonts w:hint="eastAsia" w:ascii="黑体" w:hAnsi="黑体" w:eastAsia="黑体"/>
          <w:sz w:val="32"/>
          <w:szCs w:val="32"/>
          <w:highlight w:val="none"/>
        </w:rPr>
      </w:pP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both"/>
        <w:textAlignment w:val="auto"/>
        <w:outlineLvl w:val="0"/>
        <w:rPr>
          <w:rFonts w:hint="eastAsia" w:ascii="黑体" w:hAnsi="黑体" w:eastAsia="黑体"/>
          <w:sz w:val="32"/>
          <w:szCs w:val="32"/>
          <w:highlight w:val="none"/>
        </w:rPr>
      </w:pP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both"/>
        <w:textAlignment w:val="auto"/>
        <w:outlineLvl w:val="0"/>
        <w:rPr>
          <w:rFonts w:hint="eastAsia" w:ascii="黑体" w:hAnsi="黑体" w:eastAsia="黑体"/>
          <w:sz w:val="32"/>
          <w:szCs w:val="32"/>
          <w:highlight w:val="none"/>
        </w:rPr>
      </w:pP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both"/>
        <w:textAlignment w:val="auto"/>
        <w:outlineLvl w:val="0"/>
        <w:rPr>
          <w:rFonts w:hint="eastAsia" w:ascii="黑体" w:hAnsi="黑体" w:eastAsia="黑体"/>
          <w:sz w:val="32"/>
          <w:szCs w:val="32"/>
          <w:highlight w:val="none"/>
        </w:rPr>
      </w:pP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both"/>
        <w:textAlignment w:val="auto"/>
        <w:outlineLvl w:val="0"/>
        <w:rPr>
          <w:rFonts w:hint="eastAsia" w:ascii="黑体" w:hAnsi="黑体" w:eastAsia="黑体"/>
          <w:sz w:val="32"/>
          <w:szCs w:val="32"/>
          <w:highlight w:val="none"/>
        </w:rPr>
      </w:pP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both"/>
        <w:textAlignment w:val="auto"/>
        <w:outlineLvl w:val="0"/>
        <w:rPr>
          <w:rFonts w:hint="eastAsia" w:ascii="黑体" w:hAnsi="黑体" w:eastAsia="黑体"/>
          <w:sz w:val="32"/>
          <w:szCs w:val="32"/>
          <w:highlight w:val="none"/>
        </w:rPr>
      </w:pP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both"/>
        <w:textAlignment w:val="auto"/>
        <w:outlineLvl w:val="0"/>
        <w:rPr>
          <w:rFonts w:hint="eastAsia" w:ascii="黑体" w:hAnsi="黑体" w:eastAsia="黑体"/>
          <w:sz w:val="32"/>
          <w:szCs w:val="32"/>
          <w:highlight w:val="none"/>
        </w:rPr>
      </w:pP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both"/>
        <w:textAlignment w:val="auto"/>
        <w:outlineLvl w:val="0"/>
        <w:rPr>
          <w:rFonts w:hint="eastAsia" w:ascii="黑体" w:hAnsi="黑体" w:eastAsia="黑体"/>
          <w:sz w:val="32"/>
          <w:szCs w:val="32"/>
          <w:highlight w:val="none"/>
        </w:rPr>
      </w:pP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center"/>
        <w:textAlignment w:val="auto"/>
        <w:outlineLvl w:val="0"/>
        <w:rPr>
          <w:rFonts w:hint="eastAsia" w:ascii="黑体" w:hAnsi="黑体" w:eastAsia="黑体"/>
          <w:sz w:val="32"/>
          <w:szCs w:val="32"/>
          <w:highlight w:val="none"/>
        </w:rPr>
      </w:pP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center"/>
        <w:textAlignment w:val="auto"/>
        <w:outlineLvl w:val="0"/>
        <w:rPr>
          <w:rFonts w:ascii="黑体" w:eastAsia="黑体"/>
          <w:sz w:val="32"/>
          <w:szCs w:val="32"/>
        </w:rPr>
      </w:pPr>
      <w:r>
        <w:rPr>
          <w:rFonts w:hint="eastAsia" w:ascii="黑体" w:hAnsi="黑体" w:eastAsia="黑体"/>
          <w:sz w:val="32"/>
          <w:szCs w:val="32"/>
          <w:highlight w:val="none"/>
        </w:rPr>
        <w:t>第一部分 单位概况</w:t>
      </w:r>
      <w:bookmarkEnd w:id="0"/>
    </w:p>
    <w:p>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一、主要职能</w:t>
      </w:r>
    </w:p>
    <w:p>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Times New Roman" w:eastAsia="仿宋_GB2312" w:cs="Times New Roman"/>
          <w:kern w:val="2"/>
          <w:sz w:val="32"/>
          <w:szCs w:val="32"/>
          <w:highlight w:val="none"/>
          <w:lang w:eastAsia="zh-CN"/>
        </w:rPr>
      </w:pPr>
      <w:r>
        <w:rPr>
          <w:rFonts w:hint="eastAsia" w:ascii="仿宋_GB2312" w:hAnsi="Times New Roman" w:eastAsia="仿宋_GB2312" w:cs="Times New Roman"/>
          <w:kern w:val="2"/>
          <w:sz w:val="32"/>
          <w:szCs w:val="32"/>
          <w:highlight w:val="none"/>
          <w:lang w:eastAsia="zh-CN"/>
        </w:rPr>
        <w:t>新疆文化馆是隶属于自治区文化和旅游厅的公益一类文化事业单位，恢复组建于1984年，位于乌鲁木齐市友好北路167号新疆艺术中心西面，场馆建筑面积6887平方米，设有文化体验区、互动体验区综合排练厅、舞蹈排练区声乐培训区、器乐培训区、美术培训区、阅览区等。2021年5月，面向社会公众正式开放。</w:t>
      </w:r>
    </w:p>
    <w:p>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Times New Roman" w:eastAsia="仿宋_GB2312" w:cs="Times New Roman"/>
          <w:kern w:val="2"/>
          <w:sz w:val="32"/>
          <w:szCs w:val="32"/>
          <w:highlight w:val="none"/>
          <w:lang w:eastAsia="zh-CN"/>
        </w:rPr>
      </w:pPr>
      <w:r>
        <w:rPr>
          <w:rFonts w:hint="eastAsia" w:ascii="仿宋_GB2312" w:hAnsi="Times New Roman" w:eastAsia="仿宋_GB2312" w:cs="Times New Roman"/>
          <w:kern w:val="2"/>
          <w:sz w:val="32"/>
          <w:szCs w:val="32"/>
          <w:highlight w:val="none"/>
          <w:lang w:eastAsia="zh-CN"/>
        </w:rPr>
        <w:t>新疆文化馆现有编制50人，领导职数3人。内设机构7个，包括办公室、财务室、数字化中心、调研创编部、艺术培训部、艺术活动部、美术摄影部。主要负责：一是对公众实施免费开放；二是推进全民艺术普及，为广大群众提供公益性文化艺术培训；三是指导基层文化馆(站)业务工作；四是组织指导全疆群众文艺创作；五是组织开展全区性、导向性、示范性的群众文化活动；六是提供文化艺术作品鉴赏与学习服务；七是保护传承民族民间文化艺术；八是开展公共数字文化建设和服务等职能。</w:t>
      </w:r>
    </w:p>
    <w:p>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both"/>
        <w:textAlignment w:val="auto"/>
        <w:rPr>
          <w:rFonts w:ascii="仿宋_GB2312" w:eastAsia="仿宋_GB2312"/>
          <w:sz w:val="32"/>
          <w:szCs w:val="32"/>
        </w:rPr>
      </w:pPr>
      <w:r>
        <w:rPr>
          <w:rFonts w:hint="eastAsia" w:ascii="仿宋_GB2312" w:hAnsi="Times New Roman" w:eastAsia="仿宋_GB2312" w:cs="Times New Roman"/>
          <w:kern w:val="2"/>
          <w:sz w:val="32"/>
          <w:szCs w:val="32"/>
          <w:highlight w:val="none"/>
          <w:lang w:eastAsia="zh-CN"/>
        </w:rPr>
        <w:t>作为省级文化馆，新疆文化馆以创新的文化服务方式、丰富的艺术门类，不断拓展的数字文化空间，让广大群众感受到更先进、更广泛、更便捷、更均等的公共文化服务,不断加强新疆公共文化服务体系建设满足人民群众日益增长的精神文化需求，为建设新时代中国特色社会主义新疆而贡献力量。</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b w:val="0"/>
          <w:sz w:val="32"/>
          <w:szCs w:val="32"/>
        </w:rPr>
      </w:pP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二、机构设置及人员情况</w:t>
      </w:r>
    </w:p>
    <w:p>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Times New Roman" w:eastAsia="仿宋_GB2312" w:cs="Times New Roman"/>
          <w:kern w:val="2"/>
          <w:sz w:val="32"/>
          <w:szCs w:val="32"/>
          <w:highlight w:val="none"/>
          <w:lang w:eastAsia="zh-CN"/>
        </w:rPr>
      </w:pPr>
      <w:r>
        <w:rPr>
          <w:rFonts w:hint="eastAsia" w:ascii="仿宋_GB2312" w:hAnsi="Times New Roman" w:eastAsia="仿宋_GB2312" w:cs="Times New Roman"/>
          <w:kern w:val="2"/>
          <w:sz w:val="32"/>
          <w:szCs w:val="32"/>
          <w:highlight w:val="none"/>
          <w:lang w:eastAsia="zh-CN"/>
        </w:rPr>
        <w:t>新疆维吾尔自治区文化馆2024年度，实有人数82人，其中：在职人员41人，减少1人；离休人员0人，</w:t>
      </w:r>
      <w:r>
        <w:rPr>
          <w:rFonts w:hint="eastAsia" w:ascii="仿宋_GB2312" w:hAnsi="Times New Roman" w:eastAsia="仿宋_GB2312" w:cs="Times New Roman"/>
          <w:kern w:val="2"/>
          <w:sz w:val="32"/>
          <w:szCs w:val="32"/>
          <w:highlight w:val="none"/>
          <w:lang w:val="en-US" w:eastAsia="zh-CN"/>
        </w:rPr>
        <w:t>减少0人</w:t>
      </w:r>
      <w:r>
        <w:rPr>
          <w:rFonts w:hint="eastAsia" w:ascii="仿宋_GB2312" w:hAnsi="Times New Roman" w:eastAsia="仿宋_GB2312" w:cs="Times New Roman"/>
          <w:kern w:val="2"/>
          <w:sz w:val="32"/>
          <w:szCs w:val="32"/>
          <w:highlight w:val="none"/>
          <w:lang w:eastAsia="zh-CN"/>
        </w:rPr>
        <w:t>；退休人员41人，减少1人。</w:t>
      </w:r>
    </w:p>
    <w:p>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Times New Roman" w:eastAsia="仿宋_GB2312" w:cs="Times New Roman"/>
          <w:kern w:val="2"/>
          <w:sz w:val="32"/>
          <w:szCs w:val="32"/>
          <w:highlight w:val="none"/>
          <w:lang w:eastAsia="zh-CN"/>
        </w:rPr>
      </w:pPr>
      <w:r>
        <w:rPr>
          <w:rFonts w:hint="eastAsia" w:ascii="仿宋_GB2312" w:hAnsi="Times New Roman" w:eastAsia="仿宋_GB2312" w:cs="Times New Roman"/>
          <w:kern w:val="2"/>
          <w:sz w:val="32"/>
          <w:szCs w:val="32"/>
          <w:highlight w:val="none"/>
          <w:lang w:eastAsia="zh-CN"/>
        </w:rPr>
        <w:t>新疆维吾尔自治区文化馆无下属预算单位，下设7个</w:t>
      </w:r>
      <w:r>
        <w:rPr>
          <w:rFonts w:hint="eastAsia" w:ascii="仿宋_GB2312" w:hAnsi="Times New Roman" w:eastAsia="仿宋_GB2312" w:cs="Times New Roman"/>
          <w:kern w:val="2"/>
          <w:sz w:val="32"/>
          <w:szCs w:val="32"/>
          <w:highlight w:val="none"/>
          <w:lang w:val="en-US" w:eastAsia="zh-CN"/>
        </w:rPr>
        <w:t>科室</w:t>
      </w:r>
      <w:r>
        <w:rPr>
          <w:rFonts w:hint="eastAsia" w:ascii="仿宋_GB2312" w:hAnsi="Times New Roman" w:eastAsia="仿宋_GB2312" w:cs="Times New Roman"/>
          <w:kern w:val="2"/>
          <w:sz w:val="32"/>
          <w:szCs w:val="32"/>
          <w:highlight w:val="none"/>
          <w:lang w:eastAsia="zh-CN"/>
        </w:rPr>
        <w:t>，分别是：艺术培训部、艺术活动部、美术摄影部、调研创编部、数字化中心、办公室、财务室。</w:t>
      </w:r>
    </w:p>
    <w:p>
      <w:pPr>
        <w:keepNext w:val="0"/>
        <w:keepLines w:val="0"/>
        <w:pageBreakBefore w:val="0"/>
        <w:widowControl/>
        <w:kinsoku/>
        <w:wordWrap/>
        <w:overflowPunct/>
        <w:topLinePunct w:val="0"/>
        <w:autoSpaceDE/>
        <w:autoSpaceDN/>
        <w:bidi w:val="0"/>
        <w:adjustRightInd/>
        <w:snapToGrid/>
        <w:spacing w:line="560" w:lineRule="exact"/>
        <w:textAlignment w:val="auto"/>
      </w:pPr>
      <w:r>
        <w:rPr>
          <w:b w:val="0"/>
          <w:sz w:val="0"/>
          <w:szCs w:val="0"/>
        </w:rPr>
        <w:br w:type="page"/>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center"/>
        <w:textAlignment w:val="auto"/>
        <w:outlineLvl w:val="0"/>
        <w:rPr>
          <w:rFonts w:ascii="黑体" w:eastAsia="黑体"/>
          <w:b w:val="0"/>
          <w:sz w:val="32"/>
          <w:szCs w:val="32"/>
        </w:rPr>
      </w:pPr>
      <w:r>
        <w:rPr>
          <w:rFonts w:ascii="黑体" w:eastAsia="黑体"/>
          <w:b w:val="0"/>
          <w:sz w:val="32"/>
          <w:szCs w:val="32"/>
        </w:rPr>
        <w:t>第二部分</w:t>
      </w:r>
      <w:r>
        <w:rPr>
          <w:rFonts w:hint="eastAsia" w:ascii="黑体" w:eastAsia="黑体"/>
          <w:b w:val="0"/>
          <w:sz w:val="32"/>
          <w:szCs w:val="32"/>
          <w:lang w:val="en-US" w:eastAsia="zh-CN"/>
        </w:rPr>
        <w:t xml:space="preserve"> </w:t>
      </w:r>
      <w:r>
        <w:rPr>
          <w:rFonts w:ascii="黑体" w:eastAsia="黑体"/>
          <w:b w:val="0"/>
          <w:sz w:val="32"/>
          <w:szCs w:val="32"/>
        </w:rPr>
        <w:t>部门决算情况说明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一、收入支出决算总体情况说明</w:t>
      </w:r>
    </w:p>
    <w:p>
      <w:pPr>
        <w:keepNext w:val="0"/>
        <w:keepLines w:val="0"/>
        <w:pageBreakBefore w:val="0"/>
        <w:widowControl w:val="0"/>
        <w:kinsoku/>
        <w:wordWrap/>
        <w:overflowPunct/>
        <w:topLinePunct w:val="0"/>
        <w:autoSpaceDE/>
        <w:autoSpaceDN/>
        <w:bidi w:val="0"/>
        <w:adjustRightInd/>
        <w:snapToGrid/>
        <w:spacing w:after="0" w:line="560" w:lineRule="exact"/>
        <w:ind w:firstLine="642" w:firstLineChars="200"/>
        <w:jc w:val="both"/>
        <w:textAlignment w:val="auto"/>
        <w:rPr>
          <w:rFonts w:hint="eastAsia" w:ascii="仿宋_GB2312" w:hAnsi="Times New Roman" w:eastAsia="仿宋_GB2312" w:cs="Times New Roman"/>
          <w:kern w:val="2"/>
          <w:sz w:val="32"/>
          <w:szCs w:val="32"/>
          <w:highlight w:val="none"/>
          <w:lang w:eastAsia="zh-CN"/>
        </w:rPr>
      </w:pPr>
      <w:r>
        <w:rPr>
          <w:rFonts w:hint="eastAsia" w:ascii="仿宋_GB2312" w:hAnsi="Times New Roman" w:eastAsia="仿宋_GB2312" w:cs="Times New Roman"/>
          <w:b/>
          <w:bCs/>
          <w:kern w:val="2"/>
          <w:sz w:val="32"/>
          <w:szCs w:val="32"/>
          <w:highlight w:val="none"/>
          <w:lang w:eastAsia="zh-CN"/>
        </w:rPr>
        <w:t>2024年度收入总计2,895.09万元，</w:t>
      </w:r>
      <w:r>
        <w:rPr>
          <w:rFonts w:hint="eastAsia" w:ascii="仿宋_GB2312" w:hAnsi="Times New Roman" w:eastAsia="仿宋_GB2312" w:cs="Times New Roman"/>
          <w:kern w:val="2"/>
          <w:sz w:val="32"/>
          <w:szCs w:val="32"/>
          <w:highlight w:val="none"/>
          <w:lang w:eastAsia="zh-CN"/>
        </w:rPr>
        <w:t>其中：本年收入合计2,876.65万元，使用非财政拨款结余（含专用结余）0.00万元，年初结转和结余18.44万元。</w:t>
      </w:r>
    </w:p>
    <w:p>
      <w:pPr>
        <w:keepNext w:val="0"/>
        <w:keepLines w:val="0"/>
        <w:pageBreakBefore w:val="0"/>
        <w:widowControl w:val="0"/>
        <w:kinsoku/>
        <w:wordWrap/>
        <w:overflowPunct/>
        <w:topLinePunct w:val="0"/>
        <w:autoSpaceDE/>
        <w:autoSpaceDN/>
        <w:bidi w:val="0"/>
        <w:adjustRightInd/>
        <w:snapToGrid/>
        <w:spacing w:after="0" w:line="560" w:lineRule="exact"/>
        <w:ind w:firstLine="642" w:firstLineChars="200"/>
        <w:jc w:val="both"/>
        <w:textAlignment w:val="auto"/>
        <w:rPr>
          <w:rFonts w:hint="eastAsia" w:ascii="仿宋_GB2312" w:hAnsi="Times New Roman" w:eastAsia="仿宋_GB2312" w:cs="Times New Roman"/>
          <w:kern w:val="2"/>
          <w:sz w:val="32"/>
          <w:szCs w:val="32"/>
          <w:highlight w:val="none"/>
          <w:lang w:eastAsia="zh-CN"/>
        </w:rPr>
      </w:pPr>
      <w:r>
        <w:rPr>
          <w:rFonts w:hint="eastAsia" w:ascii="仿宋_GB2312" w:hAnsi="Times New Roman" w:eastAsia="仿宋_GB2312" w:cs="Times New Roman"/>
          <w:b/>
          <w:bCs/>
          <w:kern w:val="2"/>
          <w:sz w:val="32"/>
          <w:szCs w:val="32"/>
          <w:highlight w:val="none"/>
          <w:lang w:eastAsia="zh-CN"/>
        </w:rPr>
        <w:t>2024年度支出总计2,895.09万元，</w:t>
      </w:r>
      <w:r>
        <w:rPr>
          <w:rFonts w:hint="eastAsia" w:ascii="仿宋_GB2312" w:hAnsi="Times New Roman" w:eastAsia="仿宋_GB2312" w:cs="Times New Roman"/>
          <w:kern w:val="2"/>
          <w:sz w:val="32"/>
          <w:szCs w:val="32"/>
          <w:highlight w:val="none"/>
          <w:lang w:eastAsia="zh-CN"/>
        </w:rPr>
        <w:t>其中：本年支出合计2,879.02万元，结余分配0.00万元，年末结转和结余16.06万元。</w:t>
      </w:r>
    </w:p>
    <w:p>
      <w:pPr>
        <w:keepNext w:val="0"/>
        <w:keepLines w:val="0"/>
        <w:pageBreakBefore w:val="0"/>
        <w:widowControl w:val="0"/>
        <w:kinsoku/>
        <w:wordWrap/>
        <w:overflowPunct/>
        <w:topLinePunct w:val="0"/>
        <w:autoSpaceDE/>
        <w:autoSpaceDN/>
        <w:bidi w:val="0"/>
        <w:adjustRightInd/>
        <w:snapToGrid/>
        <w:spacing w:after="0" w:line="560" w:lineRule="exact"/>
        <w:ind w:firstLine="642" w:firstLineChars="200"/>
        <w:jc w:val="both"/>
        <w:textAlignment w:val="auto"/>
        <w:rPr>
          <w:rFonts w:hint="eastAsia" w:ascii="仿宋_GB2312" w:hAnsi="Times New Roman" w:eastAsia="仿宋_GB2312" w:cs="Times New Roman"/>
          <w:kern w:val="2"/>
          <w:sz w:val="32"/>
          <w:szCs w:val="32"/>
          <w:highlight w:val="none"/>
          <w:lang w:eastAsia="zh-CN"/>
        </w:rPr>
      </w:pPr>
      <w:r>
        <w:rPr>
          <w:rFonts w:hint="eastAsia" w:ascii="仿宋_GB2312" w:hAnsi="Times New Roman" w:eastAsia="仿宋_GB2312" w:cs="Times New Roman"/>
          <w:b/>
          <w:bCs/>
          <w:kern w:val="2"/>
          <w:sz w:val="32"/>
          <w:szCs w:val="32"/>
          <w:highlight w:val="none"/>
          <w:lang w:eastAsia="zh-CN"/>
        </w:rPr>
        <w:t>收入支出总体与上年相比，</w:t>
      </w:r>
      <w:r>
        <w:rPr>
          <w:rFonts w:hint="eastAsia" w:ascii="仿宋_GB2312" w:hAnsi="Times New Roman" w:eastAsia="仿宋_GB2312" w:cs="Times New Roman"/>
          <w:kern w:val="2"/>
          <w:sz w:val="32"/>
          <w:szCs w:val="32"/>
          <w:highlight w:val="none"/>
          <w:lang w:eastAsia="zh-CN"/>
        </w:rPr>
        <w:t>增加1,017.91万元，增长54.23%，主要原因是：</w:t>
      </w:r>
      <w:r>
        <w:rPr>
          <w:rFonts w:hint="eastAsia" w:ascii="仿宋_GB2312" w:hAnsi="Times New Roman" w:eastAsia="仿宋_GB2312" w:cs="Times New Roman"/>
          <w:kern w:val="2"/>
          <w:sz w:val="32"/>
          <w:szCs w:val="32"/>
          <w:highlight w:val="none"/>
          <w:lang w:val="en-US" w:eastAsia="zh-CN"/>
        </w:rPr>
        <w:t>一是人员正常增资，基本支出增加；二是</w:t>
      </w:r>
      <w:r>
        <w:rPr>
          <w:rFonts w:hint="eastAsia" w:ascii="仿宋_GB2312" w:hAnsi="Times New Roman" w:eastAsia="仿宋_GB2312" w:cs="Times New Roman"/>
          <w:kern w:val="2"/>
          <w:sz w:val="32"/>
          <w:szCs w:val="32"/>
          <w:highlight w:val="none"/>
          <w:lang w:eastAsia="zh-CN"/>
        </w:rPr>
        <w:t>本年度</w:t>
      </w:r>
      <w:r>
        <w:rPr>
          <w:rFonts w:hint="eastAsia" w:ascii="仿宋_GB2312" w:hAnsi="Times New Roman" w:eastAsia="仿宋_GB2312" w:cs="Times New Roman"/>
          <w:kern w:val="2"/>
          <w:sz w:val="32"/>
          <w:szCs w:val="32"/>
          <w:highlight w:val="none"/>
          <w:lang w:val="en-US" w:eastAsia="zh-CN"/>
        </w:rPr>
        <w:t>增加</w:t>
      </w:r>
      <w:r>
        <w:rPr>
          <w:rFonts w:hint="eastAsia" w:ascii="仿宋_GB2312" w:hAnsi="Times New Roman" w:eastAsia="仿宋_GB2312" w:cs="Times New Roman"/>
          <w:kern w:val="2"/>
          <w:sz w:val="32"/>
          <w:szCs w:val="32"/>
          <w:highlight w:val="none"/>
          <w:lang w:eastAsia="zh-CN"/>
        </w:rPr>
        <w:t>新财教</w:t>
      </w:r>
      <w:r>
        <w:rPr>
          <w:rFonts w:hint="eastAsia" w:ascii="仿宋_GB2312" w:hAnsi="仿宋_GB2312" w:eastAsia="仿宋_GB2312" w:cs="仿宋_GB2312"/>
          <w:kern w:val="2"/>
          <w:sz w:val="32"/>
          <w:szCs w:val="32"/>
          <w:highlight w:val="none"/>
          <w:lang w:eastAsia="zh-CN"/>
        </w:rPr>
        <w:t>〔</w:t>
      </w:r>
      <w:r>
        <w:rPr>
          <w:rFonts w:hint="eastAsia" w:ascii="仿宋_GB2312" w:hAnsi="Times New Roman" w:eastAsia="仿宋_GB2312" w:cs="Times New Roman"/>
          <w:kern w:val="2"/>
          <w:sz w:val="32"/>
          <w:szCs w:val="32"/>
          <w:highlight w:val="none"/>
          <w:lang w:eastAsia="zh-CN"/>
        </w:rPr>
        <w:t>2024</w:t>
      </w:r>
      <w:r>
        <w:rPr>
          <w:rFonts w:hint="eastAsia" w:ascii="仿宋_GB2312" w:hAnsi="仿宋_GB2312" w:eastAsia="仿宋_GB2312" w:cs="仿宋_GB2312"/>
          <w:kern w:val="2"/>
          <w:sz w:val="32"/>
          <w:szCs w:val="32"/>
          <w:highlight w:val="none"/>
          <w:lang w:eastAsia="zh-CN"/>
        </w:rPr>
        <w:t>〕</w:t>
      </w:r>
      <w:r>
        <w:rPr>
          <w:rFonts w:hint="eastAsia" w:ascii="仿宋_GB2312" w:hAnsi="Times New Roman" w:eastAsia="仿宋_GB2312" w:cs="Times New Roman"/>
          <w:kern w:val="2"/>
          <w:sz w:val="32"/>
          <w:szCs w:val="32"/>
          <w:highlight w:val="none"/>
          <w:lang w:eastAsia="zh-CN"/>
        </w:rPr>
        <w:t>51号、自治区文艺扶持激励、</w:t>
      </w:r>
      <w:r>
        <w:rPr>
          <w:rFonts w:hint="eastAsia" w:ascii="仿宋_GB2312" w:hAnsi="Times New Roman" w:eastAsia="仿宋_GB2312" w:cs="Times New Roman"/>
          <w:kern w:val="2"/>
          <w:sz w:val="32"/>
          <w:szCs w:val="32"/>
          <w:highlight w:val="none"/>
          <w:lang w:val="en-US" w:eastAsia="zh-CN"/>
        </w:rPr>
        <w:t>自治区旅游发展专项、文化人才专项、新疆人才发展基金2024年度第一轮支持资金—智力援疆创新拓展人才计划、中央补助地方公共文化服务体系建设补助等项目资金</w:t>
      </w:r>
      <w:r>
        <w:rPr>
          <w:rFonts w:hint="eastAsia" w:ascii="仿宋_GB2312" w:hAnsi="Times New Roman" w:eastAsia="仿宋_GB2312" w:cs="Times New Roman"/>
          <w:kern w:val="2"/>
          <w:sz w:val="32"/>
          <w:szCs w:val="32"/>
          <w:highlight w:val="none"/>
          <w:lang w:eastAsia="zh-CN"/>
        </w:rPr>
        <w:t>。</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二、收入决算情况说明</w:t>
      </w:r>
    </w:p>
    <w:p>
      <w:pPr>
        <w:keepNext w:val="0"/>
        <w:keepLines w:val="0"/>
        <w:pageBreakBefore w:val="0"/>
        <w:widowControl w:val="0"/>
        <w:kinsoku/>
        <w:wordWrap/>
        <w:overflowPunct/>
        <w:topLinePunct w:val="0"/>
        <w:autoSpaceDE/>
        <w:autoSpaceDN/>
        <w:bidi w:val="0"/>
        <w:adjustRightInd/>
        <w:snapToGrid/>
        <w:spacing w:after="0" w:line="560" w:lineRule="exact"/>
        <w:ind w:firstLine="642" w:firstLineChars="200"/>
        <w:jc w:val="both"/>
        <w:textAlignment w:val="auto"/>
        <w:rPr>
          <w:rFonts w:hint="eastAsia" w:ascii="仿宋_GB2312" w:hAnsi="Times New Roman" w:eastAsia="仿宋_GB2312" w:cs="Times New Roman"/>
          <w:color w:val="auto"/>
          <w:kern w:val="2"/>
          <w:sz w:val="32"/>
          <w:szCs w:val="32"/>
          <w:highlight w:val="none"/>
          <w:lang w:eastAsia="zh-CN"/>
        </w:rPr>
      </w:pPr>
      <w:r>
        <w:rPr>
          <w:rFonts w:hint="eastAsia" w:ascii="仿宋_GB2312" w:hAnsi="Times New Roman" w:eastAsia="仿宋_GB2312" w:cs="Times New Roman"/>
          <w:b/>
          <w:bCs/>
          <w:color w:val="auto"/>
          <w:kern w:val="2"/>
          <w:sz w:val="32"/>
          <w:szCs w:val="32"/>
          <w:highlight w:val="none"/>
          <w:lang w:eastAsia="zh-CN"/>
        </w:rPr>
        <w:t>本年收入2,876.65万元，</w:t>
      </w:r>
      <w:r>
        <w:rPr>
          <w:rFonts w:hint="eastAsia" w:ascii="仿宋_GB2312" w:hAnsi="Times New Roman" w:eastAsia="仿宋_GB2312" w:cs="Times New Roman"/>
          <w:color w:val="auto"/>
          <w:kern w:val="2"/>
          <w:sz w:val="32"/>
          <w:szCs w:val="32"/>
          <w:highlight w:val="none"/>
          <w:lang w:eastAsia="zh-CN"/>
        </w:rPr>
        <w:t>其中：财政拨款收入2,876.58万元,占100.00%；上级补助收入0.00万元,占0.00%；事业收入0.00万元，占0.00%；经营收入0.00万元,占0.00%；附属单位上缴收入0.00万元，占0.00%；其他收入0.07万元，占0.00%。</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三、支出决算情况说明</w:t>
      </w:r>
    </w:p>
    <w:p>
      <w:pPr>
        <w:keepNext w:val="0"/>
        <w:keepLines w:val="0"/>
        <w:pageBreakBefore w:val="0"/>
        <w:widowControl w:val="0"/>
        <w:kinsoku/>
        <w:wordWrap/>
        <w:overflowPunct/>
        <w:topLinePunct w:val="0"/>
        <w:autoSpaceDE/>
        <w:autoSpaceDN/>
        <w:bidi w:val="0"/>
        <w:adjustRightInd/>
        <w:snapToGrid/>
        <w:spacing w:after="0" w:line="560" w:lineRule="exact"/>
        <w:ind w:firstLine="642" w:firstLineChars="200"/>
        <w:jc w:val="both"/>
        <w:textAlignment w:val="auto"/>
        <w:rPr>
          <w:rFonts w:ascii="仿宋_GB2312" w:eastAsia="仿宋_GB2312"/>
          <w:sz w:val="32"/>
          <w:szCs w:val="32"/>
        </w:rPr>
      </w:pPr>
      <w:r>
        <w:rPr>
          <w:rFonts w:hint="eastAsia" w:ascii="仿宋_GB2312" w:hAnsi="Times New Roman" w:eastAsia="仿宋_GB2312" w:cs="Times New Roman"/>
          <w:b/>
          <w:bCs/>
          <w:kern w:val="2"/>
          <w:sz w:val="32"/>
          <w:szCs w:val="32"/>
          <w:highlight w:val="none"/>
          <w:lang w:eastAsia="zh-CN"/>
        </w:rPr>
        <w:t>本年支出2,879.02万元，</w:t>
      </w:r>
      <w:r>
        <w:rPr>
          <w:rFonts w:hint="eastAsia" w:ascii="仿宋_GB2312" w:hAnsi="Times New Roman" w:eastAsia="仿宋_GB2312" w:cs="Times New Roman"/>
          <w:kern w:val="2"/>
          <w:sz w:val="32"/>
          <w:szCs w:val="32"/>
          <w:highlight w:val="none"/>
          <w:lang w:eastAsia="zh-CN"/>
        </w:rPr>
        <w:t>其中：基本支出954.03万元，占33.14%；项目支出1,925.00万元，占66.86%；上缴上级支出0.00万元，占0.00%；经营支出0.00万元，占0.00%；对附属单位补助支出0.00万元，占0.00%。</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四、财政拨款收入支出决算总体情况说明</w:t>
      </w:r>
    </w:p>
    <w:p>
      <w:pPr>
        <w:keepNext w:val="0"/>
        <w:keepLines w:val="0"/>
        <w:pageBreakBefore w:val="0"/>
        <w:widowControl w:val="0"/>
        <w:kinsoku/>
        <w:wordWrap/>
        <w:overflowPunct/>
        <w:topLinePunct w:val="0"/>
        <w:autoSpaceDE/>
        <w:autoSpaceDN/>
        <w:bidi w:val="0"/>
        <w:adjustRightInd/>
        <w:snapToGrid/>
        <w:spacing w:after="0" w:line="560" w:lineRule="exact"/>
        <w:ind w:firstLine="642" w:firstLineChars="200"/>
        <w:jc w:val="both"/>
        <w:textAlignment w:val="auto"/>
        <w:rPr>
          <w:rFonts w:hint="eastAsia" w:ascii="仿宋_GB2312" w:hAnsi="Times New Roman" w:eastAsia="仿宋_GB2312" w:cs="Times New Roman"/>
          <w:kern w:val="2"/>
          <w:sz w:val="32"/>
          <w:szCs w:val="32"/>
          <w:highlight w:val="none"/>
          <w:lang w:eastAsia="zh-CN"/>
        </w:rPr>
      </w:pPr>
      <w:r>
        <w:rPr>
          <w:rFonts w:hint="eastAsia" w:ascii="仿宋_GB2312" w:hAnsi="Times New Roman" w:eastAsia="仿宋_GB2312" w:cs="Times New Roman"/>
          <w:b/>
          <w:bCs/>
          <w:kern w:val="2"/>
          <w:sz w:val="32"/>
          <w:szCs w:val="32"/>
          <w:highlight w:val="none"/>
          <w:lang w:eastAsia="zh-CN"/>
        </w:rPr>
        <w:t>2024年度财政拨款收入总计2,876.58万元，</w:t>
      </w:r>
      <w:r>
        <w:rPr>
          <w:rFonts w:hint="eastAsia" w:ascii="仿宋_GB2312" w:hAnsi="Times New Roman" w:eastAsia="仿宋_GB2312" w:cs="Times New Roman"/>
          <w:kern w:val="2"/>
          <w:sz w:val="32"/>
          <w:szCs w:val="32"/>
          <w:highlight w:val="none"/>
          <w:lang w:eastAsia="zh-CN"/>
        </w:rPr>
        <w:t>其中：年初财政拨款结转和结余0.00万元，本年财政拨款收入2,876.58万元。</w:t>
      </w:r>
      <w:r>
        <w:rPr>
          <w:rFonts w:hint="eastAsia" w:ascii="仿宋_GB2312" w:hAnsi="Times New Roman" w:eastAsia="仿宋_GB2312" w:cs="Times New Roman"/>
          <w:b/>
          <w:bCs/>
          <w:kern w:val="2"/>
          <w:sz w:val="32"/>
          <w:szCs w:val="32"/>
          <w:highlight w:val="none"/>
          <w:lang w:eastAsia="zh-CN"/>
        </w:rPr>
        <w:t>财政拨款支出总计2,876.58万元，</w:t>
      </w:r>
      <w:r>
        <w:rPr>
          <w:rFonts w:hint="eastAsia" w:ascii="仿宋_GB2312" w:hAnsi="Times New Roman" w:eastAsia="仿宋_GB2312" w:cs="Times New Roman"/>
          <w:kern w:val="2"/>
          <w:sz w:val="32"/>
          <w:szCs w:val="32"/>
          <w:highlight w:val="none"/>
          <w:lang w:eastAsia="zh-CN"/>
        </w:rPr>
        <w:t>其中：年末财政拨款结转和结余0.00万元，本年财政拨款支出2,876.58万元。</w:t>
      </w:r>
    </w:p>
    <w:p>
      <w:pPr>
        <w:keepNext w:val="0"/>
        <w:keepLines w:val="0"/>
        <w:pageBreakBefore w:val="0"/>
        <w:widowControl w:val="0"/>
        <w:kinsoku/>
        <w:wordWrap/>
        <w:overflowPunct/>
        <w:topLinePunct w:val="0"/>
        <w:autoSpaceDE/>
        <w:autoSpaceDN/>
        <w:bidi w:val="0"/>
        <w:adjustRightInd/>
        <w:snapToGrid/>
        <w:spacing w:after="0" w:line="560" w:lineRule="exact"/>
        <w:ind w:firstLine="642" w:firstLineChars="200"/>
        <w:jc w:val="both"/>
        <w:textAlignment w:val="auto"/>
        <w:rPr>
          <w:rFonts w:hint="eastAsia" w:ascii="仿宋_GB2312" w:hAnsi="Times New Roman" w:eastAsia="仿宋_GB2312" w:cs="Times New Roman"/>
          <w:kern w:val="2"/>
          <w:sz w:val="32"/>
          <w:szCs w:val="32"/>
          <w:highlight w:val="none"/>
          <w:lang w:eastAsia="zh-CN"/>
        </w:rPr>
      </w:pPr>
      <w:r>
        <w:rPr>
          <w:rFonts w:hint="eastAsia" w:ascii="仿宋_GB2312" w:hAnsi="Times New Roman" w:eastAsia="仿宋_GB2312" w:cs="Times New Roman"/>
          <w:b/>
          <w:bCs/>
          <w:kern w:val="2"/>
          <w:sz w:val="32"/>
          <w:szCs w:val="32"/>
          <w:highlight w:val="none"/>
          <w:lang w:eastAsia="zh-CN"/>
        </w:rPr>
        <w:t>财政拨款收入支出总体与上年相比，</w:t>
      </w:r>
      <w:r>
        <w:rPr>
          <w:rFonts w:hint="eastAsia" w:ascii="仿宋_GB2312" w:hAnsi="Times New Roman" w:eastAsia="仿宋_GB2312" w:cs="Times New Roman"/>
          <w:kern w:val="2"/>
          <w:sz w:val="32"/>
          <w:szCs w:val="32"/>
          <w:highlight w:val="none"/>
          <w:lang w:eastAsia="zh-CN"/>
        </w:rPr>
        <w:t>增加1,022.17万元，增长55.12%，主要原因是：</w:t>
      </w:r>
      <w:r>
        <w:rPr>
          <w:rFonts w:hint="eastAsia" w:ascii="仿宋_GB2312" w:hAnsi="Times New Roman" w:eastAsia="仿宋_GB2312" w:cs="Times New Roman"/>
          <w:kern w:val="2"/>
          <w:sz w:val="32"/>
          <w:szCs w:val="32"/>
          <w:highlight w:val="none"/>
          <w:lang w:val="en-US" w:eastAsia="zh-CN"/>
        </w:rPr>
        <w:t>一是人员正常增资,基数调整，基本支出增加；二是</w:t>
      </w:r>
      <w:r>
        <w:rPr>
          <w:rFonts w:hint="eastAsia" w:ascii="仿宋_GB2312" w:hAnsi="Times New Roman" w:eastAsia="仿宋_GB2312" w:cs="Times New Roman"/>
          <w:kern w:val="2"/>
          <w:sz w:val="32"/>
          <w:szCs w:val="32"/>
          <w:highlight w:val="none"/>
          <w:lang w:eastAsia="zh-CN"/>
        </w:rPr>
        <w:t>本年度</w:t>
      </w:r>
      <w:r>
        <w:rPr>
          <w:rFonts w:hint="eastAsia" w:ascii="仿宋_GB2312" w:hAnsi="Times New Roman" w:eastAsia="仿宋_GB2312" w:cs="Times New Roman"/>
          <w:kern w:val="2"/>
          <w:sz w:val="32"/>
          <w:szCs w:val="32"/>
          <w:highlight w:val="none"/>
          <w:lang w:val="en-US" w:eastAsia="zh-CN"/>
        </w:rPr>
        <w:t>增加</w:t>
      </w:r>
      <w:r>
        <w:rPr>
          <w:rFonts w:hint="eastAsia" w:ascii="仿宋_GB2312" w:hAnsi="Times New Roman" w:eastAsia="仿宋_GB2312" w:cs="Times New Roman"/>
          <w:kern w:val="2"/>
          <w:sz w:val="32"/>
          <w:szCs w:val="32"/>
          <w:highlight w:val="none"/>
          <w:lang w:eastAsia="zh-CN"/>
        </w:rPr>
        <w:t>新财教</w:t>
      </w:r>
      <w:r>
        <w:rPr>
          <w:rFonts w:hint="eastAsia" w:ascii="仿宋_GB2312" w:hAnsi="仿宋_GB2312" w:eastAsia="仿宋_GB2312" w:cs="仿宋_GB2312"/>
          <w:kern w:val="2"/>
          <w:sz w:val="32"/>
          <w:szCs w:val="32"/>
          <w:highlight w:val="none"/>
          <w:lang w:eastAsia="zh-CN"/>
        </w:rPr>
        <w:t>〔</w:t>
      </w:r>
      <w:r>
        <w:rPr>
          <w:rFonts w:hint="eastAsia" w:ascii="仿宋_GB2312" w:hAnsi="Times New Roman" w:eastAsia="仿宋_GB2312" w:cs="Times New Roman"/>
          <w:kern w:val="2"/>
          <w:sz w:val="32"/>
          <w:szCs w:val="32"/>
          <w:highlight w:val="none"/>
          <w:lang w:eastAsia="zh-CN"/>
        </w:rPr>
        <w:t>2024</w:t>
      </w:r>
      <w:r>
        <w:rPr>
          <w:rFonts w:hint="eastAsia" w:ascii="仿宋_GB2312" w:hAnsi="仿宋_GB2312" w:eastAsia="仿宋_GB2312" w:cs="仿宋_GB2312"/>
          <w:kern w:val="2"/>
          <w:sz w:val="32"/>
          <w:szCs w:val="32"/>
          <w:highlight w:val="none"/>
          <w:lang w:eastAsia="zh-CN"/>
        </w:rPr>
        <w:t>〕</w:t>
      </w:r>
      <w:r>
        <w:rPr>
          <w:rFonts w:hint="eastAsia" w:ascii="仿宋_GB2312" w:hAnsi="Times New Roman" w:eastAsia="仿宋_GB2312" w:cs="Times New Roman"/>
          <w:kern w:val="2"/>
          <w:sz w:val="32"/>
          <w:szCs w:val="32"/>
          <w:highlight w:val="none"/>
          <w:lang w:eastAsia="zh-CN"/>
        </w:rPr>
        <w:t>51号、自治区文艺扶持激励、</w:t>
      </w:r>
      <w:r>
        <w:rPr>
          <w:rFonts w:hint="eastAsia" w:ascii="仿宋_GB2312" w:hAnsi="Times New Roman" w:eastAsia="仿宋_GB2312" w:cs="Times New Roman"/>
          <w:kern w:val="2"/>
          <w:sz w:val="32"/>
          <w:szCs w:val="32"/>
          <w:highlight w:val="none"/>
          <w:lang w:val="en-US" w:eastAsia="zh-CN"/>
        </w:rPr>
        <w:t>自治区旅游发展专项、文化人才专项、新疆人才发展基金2024年度第一轮支持资金—智力援疆创新拓展人才计划、中央补助地方公共文化服务体系建设补助等项目资金</w:t>
      </w:r>
      <w:r>
        <w:rPr>
          <w:rFonts w:hint="eastAsia" w:ascii="仿宋_GB2312" w:hAnsi="Times New Roman" w:eastAsia="仿宋_GB2312" w:cs="Times New Roman"/>
          <w:kern w:val="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after="0" w:line="560" w:lineRule="exact"/>
        <w:jc w:val="both"/>
        <w:textAlignment w:val="auto"/>
        <w:rPr>
          <w:rFonts w:ascii="仿宋_GB2312" w:eastAsia="仿宋_GB2312"/>
          <w:sz w:val="32"/>
          <w:szCs w:val="32"/>
        </w:rPr>
      </w:pPr>
      <w:r>
        <w:rPr>
          <w:rFonts w:hint="eastAsia" w:ascii="仿宋_GB2312" w:hAnsi="Times New Roman" w:eastAsia="仿宋_GB2312" w:cs="Times New Roman"/>
          <w:b/>
          <w:bCs/>
          <w:kern w:val="2"/>
          <w:sz w:val="32"/>
          <w:szCs w:val="32"/>
          <w:highlight w:val="none"/>
          <w:lang w:eastAsia="zh-CN"/>
        </w:rPr>
        <w:t>与年初预算相比，</w:t>
      </w:r>
      <w:r>
        <w:rPr>
          <w:rFonts w:hint="eastAsia" w:ascii="仿宋_GB2312" w:hAnsi="Times New Roman" w:eastAsia="仿宋_GB2312" w:cs="Times New Roman"/>
          <w:kern w:val="2"/>
          <w:sz w:val="32"/>
          <w:szCs w:val="32"/>
          <w:highlight w:val="none"/>
          <w:lang w:eastAsia="zh-CN"/>
        </w:rPr>
        <w:t>年初预算数2,177.10万元，决算数2,876.58万元，预决算差异率32.13%，主要原因是：</w:t>
      </w:r>
      <w:r>
        <w:rPr>
          <w:rFonts w:hint="eastAsia" w:ascii="仿宋_GB2312" w:hAnsi="Times New Roman" w:eastAsia="仿宋_GB2312" w:cs="Times New Roman"/>
          <w:kern w:val="2"/>
          <w:sz w:val="32"/>
          <w:szCs w:val="32"/>
          <w:highlight w:val="none"/>
          <w:lang w:val="en-US" w:eastAsia="zh-CN"/>
        </w:rPr>
        <w:t>一是</w:t>
      </w:r>
      <w:r>
        <w:rPr>
          <w:rFonts w:hint="eastAsia" w:ascii="仿宋_GB2312" w:hAnsi="Times New Roman" w:eastAsia="仿宋_GB2312" w:cs="Times New Roman"/>
          <w:kern w:val="2"/>
          <w:sz w:val="32"/>
          <w:szCs w:val="32"/>
          <w:highlight w:val="none"/>
          <w:lang w:eastAsia="zh-CN"/>
        </w:rPr>
        <w:t>本年度</w:t>
      </w:r>
      <w:r>
        <w:rPr>
          <w:rFonts w:hint="eastAsia" w:ascii="仿宋_GB2312" w:hAnsi="Times New Roman" w:eastAsia="仿宋_GB2312" w:cs="Times New Roman"/>
          <w:kern w:val="2"/>
          <w:sz w:val="32"/>
          <w:szCs w:val="32"/>
          <w:highlight w:val="none"/>
          <w:lang w:val="en-US" w:eastAsia="zh-CN"/>
        </w:rPr>
        <w:t>丧葬费抚恤金、年度考核奖增加；二是追加</w:t>
      </w:r>
      <w:r>
        <w:rPr>
          <w:rFonts w:hint="eastAsia" w:ascii="仿宋_GB2312" w:hAnsi="Times New Roman" w:eastAsia="仿宋_GB2312" w:cs="Times New Roman"/>
          <w:kern w:val="2"/>
          <w:sz w:val="32"/>
          <w:szCs w:val="32"/>
          <w:highlight w:val="none"/>
          <w:lang w:eastAsia="zh-CN"/>
        </w:rPr>
        <w:t>新财教</w:t>
      </w:r>
      <w:r>
        <w:rPr>
          <w:rFonts w:hint="eastAsia" w:ascii="仿宋_GB2312" w:hAnsi="仿宋_GB2312" w:eastAsia="仿宋_GB2312" w:cs="仿宋_GB2312"/>
          <w:kern w:val="2"/>
          <w:sz w:val="32"/>
          <w:szCs w:val="32"/>
          <w:highlight w:val="none"/>
          <w:lang w:eastAsia="zh-CN"/>
        </w:rPr>
        <w:t>〔</w:t>
      </w:r>
      <w:r>
        <w:rPr>
          <w:rFonts w:hint="eastAsia" w:ascii="仿宋_GB2312" w:hAnsi="Times New Roman" w:eastAsia="仿宋_GB2312" w:cs="Times New Roman"/>
          <w:kern w:val="2"/>
          <w:sz w:val="32"/>
          <w:szCs w:val="32"/>
          <w:highlight w:val="none"/>
          <w:lang w:eastAsia="zh-CN"/>
        </w:rPr>
        <w:t>2024</w:t>
      </w:r>
      <w:r>
        <w:rPr>
          <w:rFonts w:hint="eastAsia" w:ascii="仿宋_GB2312" w:hAnsi="仿宋_GB2312" w:eastAsia="仿宋_GB2312" w:cs="仿宋_GB2312"/>
          <w:kern w:val="2"/>
          <w:sz w:val="32"/>
          <w:szCs w:val="32"/>
          <w:highlight w:val="none"/>
          <w:lang w:eastAsia="zh-CN"/>
        </w:rPr>
        <w:t>〕</w:t>
      </w:r>
      <w:r>
        <w:rPr>
          <w:rFonts w:hint="eastAsia" w:ascii="仿宋_GB2312" w:hAnsi="Times New Roman" w:eastAsia="仿宋_GB2312" w:cs="Times New Roman"/>
          <w:kern w:val="2"/>
          <w:sz w:val="32"/>
          <w:szCs w:val="32"/>
          <w:highlight w:val="none"/>
          <w:lang w:eastAsia="zh-CN"/>
        </w:rPr>
        <w:t>51号、自治区文艺扶持激励</w:t>
      </w:r>
      <w:r>
        <w:rPr>
          <w:rFonts w:hint="eastAsia" w:ascii="仿宋_GB2312" w:hAnsi="Times New Roman" w:eastAsia="仿宋_GB2312" w:cs="Times New Roman"/>
          <w:kern w:val="2"/>
          <w:sz w:val="32"/>
          <w:szCs w:val="32"/>
          <w:highlight w:val="none"/>
          <w:lang w:val="en-US" w:eastAsia="zh-CN"/>
        </w:rPr>
        <w:t>、自治区旅游发展专项资金预算（第三批）、新疆人才发展基金2024年度第一轮支持资金—智力援疆创新拓展人才计划、自治区彩票公益金支持文化和旅游志愿服务、“群星耀天山”文化艺术作品海选及展演等项目资金;三是结转中央补助地方公共文化服务体系建设补助资金—文旅厅、公共文化云资金。</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五、一般公共预算财政拨款支出决算情况说明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2"/>
        <w:rPr>
          <w:rFonts w:ascii="黑体" w:eastAsia="黑体"/>
          <w:b w:val="0"/>
          <w:bCs/>
          <w:sz w:val="32"/>
          <w:szCs w:val="32"/>
        </w:rPr>
      </w:pPr>
      <w:r>
        <w:rPr>
          <w:rFonts w:ascii="黑体" w:eastAsia="黑体"/>
          <w:b w:val="0"/>
          <w:bCs/>
          <w:sz w:val="32"/>
          <w:szCs w:val="32"/>
        </w:rPr>
        <w:t>（一）一般公共预算财政拨款支出决算总体情况</w:t>
      </w:r>
    </w:p>
    <w:p>
      <w:pPr>
        <w:keepNext w:val="0"/>
        <w:keepLines w:val="0"/>
        <w:pageBreakBefore w:val="0"/>
        <w:widowControl w:val="0"/>
        <w:kinsoku/>
        <w:wordWrap/>
        <w:overflowPunct/>
        <w:topLinePunct w:val="0"/>
        <w:autoSpaceDE/>
        <w:autoSpaceDN/>
        <w:bidi w:val="0"/>
        <w:adjustRightInd/>
        <w:snapToGrid/>
        <w:spacing w:after="0" w:line="560" w:lineRule="exact"/>
        <w:ind w:firstLine="642" w:firstLineChars="200"/>
        <w:jc w:val="both"/>
        <w:textAlignment w:val="auto"/>
        <w:rPr>
          <w:rFonts w:hint="default" w:ascii="仿宋_GB2312" w:hAnsi="Times New Roman" w:eastAsia="仿宋_GB2312" w:cs="Times New Roman"/>
          <w:kern w:val="2"/>
          <w:sz w:val="32"/>
          <w:szCs w:val="32"/>
          <w:highlight w:val="none"/>
          <w:lang w:val="en-US" w:eastAsia="zh-CN"/>
        </w:rPr>
      </w:pPr>
      <w:r>
        <w:rPr>
          <w:rFonts w:hint="eastAsia" w:ascii="仿宋_GB2312" w:hAnsi="Times New Roman" w:eastAsia="仿宋_GB2312" w:cs="Times New Roman"/>
          <w:b/>
          <w:bCs/>
          <w:kern w:val="2"/>
          <w:sz w:val="32"/>
          <w:szCs w:val="32"/>
          <w:highlight w:val="none"/>
          <w:lang w:eastAsia="zh-CN"/>
        </w:rPr>
        <w:t>2024年度一般公共预算财政拨款支出2,431.58万元，</w:t>
      </w:r>
      <w:r>
        <w:rPr>
          <w:rFonts w:hint="eastAsia" w:ascii="仿宋_GB2312" w:hAnsi="Times New Roman" w:eastAsia="仿宋_GB2312" w:cs="Times New Roman"/>
          <w:kern w:val="2"/>
          <w:sz w:val="32"/>
          <w:szCs w:val="32"/>
          <w:highlight w:val="none"/>
          <w:lang w:eastAsia="zh-CN"/>
        </w:rPr>
        <w:t>占本年支出合计的84.46%。</w:t>
      </w:r>
      <w:r>
        <w:rPr>
          <w:rFonts w:hint="eastAsia" w:ascii="仿宋_GB2312" w:hAnsi="Times New Roman" w:eastAsia="仿宋_GB2312" w:cs="Times New Roman"/>
          <w:b/>
          <w:bCs/>
          <w:kern w:val="2"/>
          <w:sz w:val="32"/>
          <w:szCs w:val="32"/>
          <w:highlight w:val="none"/>
          <w:lang w:eastAsia="zh-CN"/>
        </w:rPr>
        <w:t>与上年相比，</w:t>
      </w:r>
      <w:r>
        <w:rPr>
          <w:rFonts w:hint="eastAsia" w:ascii="仿宋_GB2312" w:hAnsi="Times New Roman" w:eastAsia="仿宋_GB2312" w:cs="Times New Roman"/>
          <w:kern w:val="2"/>
          <w:sz w:val="32"/>
          <w:szCs w:val="32"/>
          <w:highlight w:val="none"/>
          <w:lang w:eastAsia="zh-CN"/>
        </w:rPr>
        <w:t>增加662.17万元，增长37.42%，主要原因是：</w:t>
      </w:r>
      <w:r>
        <w:rPr>
          <w:rFonts w:hint="eastAsia" w:ascii="仿宋_GB2312" w:hAnsi="Times New Roman" w:eastAsia="仿宋_GB2312" w:cs="Times New Roman"/>
          <w:kern w:val="2"/>
          <w:sz w:val="32"/>
          <w:szCs w:val="32"/>
          <w:highlight w:val="none"/>
          <w:lang w:val="en-US" w:eastAsia="zh-CN"/>
        </w:rPr>
        <w:t>一是人员正常增资、基数调整，基本支出增加；二是</w:t>
      </w:r>
      <w:r>
        <w:rPr>
          <w:rFonts w:hint="eastAsia" w:ascii="仿宋_GB2312" w:hAnsi="Times New Roman" w:eastAsia="仿宋_GB2312" w:cs="Times New Roman"/>
          <w:kern w:val="2"/>
          <w:sz w:val="32"/>
          <w:szCs w:val="32"/>
          <w:highlight w:val="none"/>
          <w:lang w:eastAsia="zh-CN"/>
        </w:rPr>
        <w:t>本年度</w:t>
      </w:r>
      <w:r>
        <w:rPr>
          <w:rFonts w:hint="eastAsia" w:ascii="仿宋_GB2312" w:hAnsi="Times New Roman" w:eastAsia="仿宋_GB2312" w:cs="Times New Roman"/>
          <w:kern w:val="2"/>
          <w:sz w:val="32"/>
          <w:szCs w:val="32"/>
          <w:highlight w:val="none"/>
          <w:lang w:val="en-US" w:eastAsia="zh-CN"/>
        </w:rPr>
        <w:t>增加</w:t>
      </w:r>
      <w:r>
        <w:rPr>
          <w:rFonts w:hint="eastAsia" w:ascii="仿宋_GB2312" w:hAnsi="Times New Roman" w:eastAsia="仿宋_GB2312" w:cs="Times New Roman"/>
          <w:kern w:val="2"/>
          <w:sz w:val="32"/>
          <w:szCs w:val="32"/>
          <w:highlight w:val="none"/>
          <w:lang w:eastAsia="zh-CN"/>
        </w:rPr>
        <w:t>新财教</w:t>
      </w:r>
      <w:r>
        <w:rPr>
          <w:rFonts w:hint="eastAsia" w:ascii="仿宋_GB2312" w:hAnsi="仿宋_GB2312" w:eastAsia="仿宋_GB2312" w:cs="仿宋_GB2312"/>
          <w:kern w:val="2"/>
          <w:sz w:val="32"/>
          <w:szCs w:val="32"/>
          <w:highlight w:val="none"/>
          <w:lang w:eastAsia="zh-CN"/>
        </w:rPr>
        <w:t>〔</w:t>
      </w:r>
      <w:r>
        <w:rPr>
          <w:rFonts w:hint="eastAsia" w:ascii="仿宋_GB2312" w:hAnsi="Times New Roman" w:eastAsia="仿宋_GB2312" w:cs="Times New Roman"/>
          <w:kern w:val="2"/>
          <w:sz w:val="32"/>
          <w:szCs w:val="32"/>
          <w:highlight w:val="none"/>
          <w:lang w:eastAsia="zh-CN"/>
        </w:rPr>
        <w:t>2024</w:t>
      </w:r>
      <w:r>
        <w:rPr>
          <w:rFonts w:hint="eastAsia" w:ascii="仿宋_GB2312" w:hAnsi="仿宋_GB2312" w:eastAsia="仿宋_GB2312" w:cs="仿宋_GB2312"/>
          <w:kern w:val="2"/>
          <w:sz w:val="32"/>
          <w:szCs w:val="32"/>
          <w:highlight w:val="none"/>
          <w:lang w:eastAsia="zh-CN"/>
        </w:rPr>
        <w:t>〕</w:t>
      </w:r>
      <w:r>
        <w:rPr>
          <w:rFonts w:hint="eastAsia" w:ascii="仿宋_GB2312" w:hAnsi="Times New Roman" w:eastAsia="仿宋_GB2312" w:cs="Times New Roman"/>
          <w:kern w:val="2"/>
          <w:sz w:val="32"/>
          <w:szCs w:val="32"/>
          <w:highlight w:val="none"/>
          <w:lang w:eastAsia="zh-CN"/>
        </w:rPr>
        <w:t>51号、自治区文艺扶持激励、</w:t>
      </w:r>
      <w:r>
        <w:rPr>
          <w:rFonts w:hint="eastAsia" w:ascii="仿宋_GB2312" w:hAnsi="Times New Roman" w:eastAsia="仿宋_GB2312" w:cs="Times New Roman"/>
          <w:kern w:val="2"/>
          <w:sz w:val="32"/>
          <w:szCs w:val="32"/>
          <w:highlight w:val="none"/>
          <w:lang w:val="en-US" w:eastAsia="zh-CN"/>
        </w:rPr>
        <w:t>自治区旅游发展专项、文化人才专项、新疆人才发展基金2024年度第一轮支持资金—智力援疆创新拓展人才计划、中央补助地方公共文化服务体系建设补助等项目资金</w:t>
      </w:r>
      <w:r>
        <w:rPr>
          <w:rFonts w:hint="eastAsia" w:ascii="仿宋_GB2312" w:hAnsi="Times New Roman" w:eastAsia="仿宋_GB2312" w:cs="Times New Roman"/>
          <w:kern w:val="2"/>
          <w:sz w:val="32"/>
          <w:szCs w:val="32"/>
          <w:highlight w:val="none"/>
          <w:lang w:eastAsia="zh-CN"/>
        </w:rPr>
        <w:t>。</w:t>
      </w:r>
      <w:r>
        <w:rPr>
          <w:rFonts w:hint="eastAsia" w:ascii="仿宋_GB2312" w:hAnsi="Times New Roman" w:eastAsia="仿宋_GB2312" w:cs="Times New Roman"/>
          <w:b/>
          <w:bCs/>
          <w:kern w:val="2"/>
          <w:sz w:val="32"/>
          <w:szCs w:val="32"/>
          <w:highlight w:val="none"/>
          <w:lang w:eastAsia="zh-CN"/>
        </w:rPr>
        <w:t>与年初预算相比，</w:t>
      </w:r>
      <w:r>
        <w:rPr>
          <w:rFonts w:hint="eastAsia" w:ascii="仿宋_GB2312" w:hAnsi="Times New Roman" w:eastAsia="仿宋_GB2312" w:cs="Times New Roman"/>
          <w:kern w:val="2"/>
          <w:sz w:val="32"/>
          <w:szCs w:val="32"/>
          <w:highlight w:val="none"/>
          <w:lang w:eastAsia="zh-CN"/>
        </w:rPr>
        <w:t>年初预算数2,177.10万元，决算数2,431.58万元，预决算差异率11.69%，主要原因是：</w:t>
      </w:r>
      <w:r>
        <w:rPr>
          <w:rFonts w:hint="eastAsia" w:ascii="仿宋_GB2312" w:hAnsi="Times New Roman" w:eastAsia="仿宋_GB2312" w:cs="Times New Roman"/>
          <w:kern w:val="2"/>
          <w:sz w:val="32"/>
          <w:szCs w:val="32"/>
          <w:highlight w:val="none"/>
          <w:lang w:val="en-US" w:eastAsia="zh-CN"/>
        </w:rPr>
        <w:t>一是</w:t>
      </w:r>
      <w:r>
        <w:rPr>
          <w:rFonts w:hint="eastAsia" w:ascii="仿宋_GB2312" w:hAnsi="Times New Roman" w:eastAsia="仿宋_GB2312" w:cs="Times New Roman"/>
          <w:kern w:val="2"/>
          <w:sz w:val="32"/>
          <w:szCs w:val="32"/>
          <w:highlight w:val="none"/>
          <w:lang w:eastAsia="zh-CN"/>
        </w:rPr>
        <w:t>本年度</w:t>
      </w:r>
      <w:r>
        <w:rPr>
          <w:rFonts w:hint="eastAsia" w:ascii="仿宋_GB2312" w:hAnsi="Times New Roman" w:eastAsia="仿宋_GB2312" w:cs="Times New Roman"/>
          <w:kern w:val="2"/>
          <w:sz w:val="32"/>
          <w:szCs w:val="32"/>
          <w:highlight w:val="none"/>
          <w:lang w:val="en-US" w:eastAsia="zh-CN"/>
        </w:rPr>
        <w:t>丧葬费抚恤金、年度考核奖增加；二是追加</w:t>
      </w:r>
      <w:r>
        <w:rPr>
          <w:rFonts w:hint="eastAsia" w:ascii="仿宋_GB2312" w:hAnsi="Times New Roman" w:eastAsia="仿宋_GB2312" w:cs="Times New Roman"/>
          <w:kern w:val="2"/>
          <w:sz w:val="32"/>
          <w:szCs w:val="32"/>
          <w:highlight w:val="none"/>
          <w:lang w:eastAsia="zh-CN"/>
        </w:rPr>
        <w:t>新财教</w:t>
      </w:r>
      <w:r>
        <w:rPr>
          <w:rFonts w:hint="eastAsia" w:ascii="仿宋_GB2312" w:hAnsi="仿宋_GB2312" w:eastAsia="仿宋_GB2312" w:cs="仿宋_GB2312"/>
          <w:kern w:val="2"/>
          <w:sz w:val="32"/>
          <w:szCs w:val="32"/>
          <w:highlight w:val="none"/>
          <w:lang w:eastAsia="zh-CN"/>
        </w:rPr>
        <w:t>〔</w:t>
      </w:r>
      <w:r>
        <w:rPr>
          <w:rFonts w:hint="eastAsia" w:ascii="仿宋_GB2312" w:hAnsi="Times New Roman" w:eastAsia="仿宋_GB2312" w:cs="Times New Roman"/>
          <w:kern w:val="2"/>
          <w:sz w:val="32"/>
          <w:szCs w:val="32"/>
          <w:highlight w:val="none"/>
          <w:lang w:eastAsia="zh-CN"/>
        </w:rPr>
        <w:t>2024</w:t>
      </w:r>
      <w:r>
        <w:rPr>
          <w:rFonts w:hint="eastAsia" w:ascii="仿宋_GB2312" w:hAnsi="仿宋_GB2312" w:eastAsia="仿宋_GB2312" w:cs="仿宋_GB2312"/>
          <w:kern w:val="2"/>
          <w:sz w:val="32"/>
          <w:szCs w:val="32"/>
          <w:highlight w:val="none"/>
          <w:lang w:eastAsia="zh-CN"/>
        </w:rPr>
        <w:t>〕</w:t>
      </w:r>
      <w:r>
        <w:rPr>
          <w:rFonts w:hint="eastAsia" w:ascii="仿宋_GB2312" w:hAnsi="Times New Roman" w:eastAsia="仿宋_GB2312" w:cs="Times New Roman"/>
          <w:kern w:val="2"/>
          <w:sz w:val="32"/>
          <w:szCs w:val="32"/>
          <w:highlight w:val="none"/>
          <w:lang w:eastAsia="zh-CN"/>
        </w:rPr>
        <w:t>51号、自治区文艺扶持激励</w:t>
      </w:r>
      <w:r>
        <w:rPr>
          <w:rFonts w:hint="eastAsia" w:ascii="仿宋_GB2312" w:hAnsi="Times New Roman" w:eastAsia="仿宋_GB2312" w:cs="Times New Roman"/>
          <w:kern w:val="2"/>
          <w:sz w:val="32"/>
          <w:szCs w:val="32"/>
          <w:highlight w:val="none"/>
          <w:lang w:val="en-US" w:eastAsia="zh-CN"/>
        </w:rPr>
        <w:t>、自治区旅游发展专项资金预算（第三批）、新疆人才发展基金2024年度第一轮支持资金—智力援疆创新拓展人才计划、自治区彩票公益金支持文化和旅游志愿服务、“群星耀天山”文化艺术作品海选及展演等项目资金；三是结转中央补助地方公共文化服务体系建设补助资金—文旅厅、公共文化云资金。</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2"/>
        <w:rPr>
          <w:rFonts w:ascii="黑体" w:eastAsia="黑体"/>
          <w:b w:val="0"/>
          <w:bCs/>
          <w:sz w:val="32"/>
          <w:szCs w:val="32"/>
        </w:rPr>
      </w:pPr>
      <w:r>
        <w:rPr>
          <w:rFonts w:ascii="黑体" w:eastAsia="黑体"/>
          <w:b w:val="0"/>
          <w:bCs/>
          <w:sz w:val="32"/>
          <w:szCs w:val="32"/>
        </w:rPr>
        <w:t>（二）一般公共预算财政拨款支出决算结构情况</w:t>
      </w:r>
    </w:p>
    <w:p>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both"/>
        <w:textAlignment w:val="auto"/>
        <w:rPr>
          <w:rFonts w:ascii="仿宋_GB2312" w:eastAsia="仿宋_GB2312"/>
          <w:sz w:val="32"/>
          <w:szCs w:val="32"/>
        </w:rPr>
      </w:pPr>
      <w:r>
        <w:rPr>
          <w:rFonts w:hint="eastAsia" w:ascii="仿宋_GB2312" w:hAnsi="Times New Roman" w:eastAsia="仿宋_GB2312" w:cs="Times New Roman"/>
          <w:kern w:val="2"/>
          <w:sz w:val="32"/>
          <w:szCs w:val="32"/>
          <w:highlight w:val="none"/>
          <w:lang w:val="en-US" w:eastAsia="zh-CN"/>
        </w:rPr>
        <w:t>1.</w:t>
      </w:r>
      <w:r>
        <w:rPr>
          <w:rFonts w:hint="eastAsia" w:ascii="仿宋_GB2312" w:hAnsi="Times New Roman" w:eastAsia="仿宋_GB2312" w:cs="Times New Roman"/>
          <w:kern w:val="2"/>
          <w:sz w:val="32"/>
          <w:szCs w:val="32"/>
          <w:highlight w:val="none"/>
          <w:lang w:eastAsia="zh-CN"/>
        </w:rPr>
        <w:t>文化旅游体育与传媒支出（类）2,431.58万元，占100.00%。</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2"/>
        <w:rPr>
          <w:rFonts w:ascii="黑体" w:eastAsia="黑体"/>
          <w:b w:val="0"/>
          <w:bCs/>
          <w:sz w:val="32"/>
          <w:szCs w:val="32"/>
        </w:rPr>
      </w:pPr>
      <w:r>
        <w:rPr>
          <w:rFonts w:ascii="黑体" w:eastAsia="黑体"/>
          <w:b w:val="0"/>
          <w:bCs/>
          <w:sz w:val="32"/>
          <w:szCs w:val="32"/>
        </w:rPr>
        <w:t>（三）一般公共预算财政拨款支出决算具体情况</w:t>
      </w:r>
    </w:p>
    <w:p>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Times New Roman" w:eastAsia="仿宋_GB2312" w:cs="Times New Roman"/>
          <w:kern w:val="2"/>
          <w:sz w:val="32"/>
          <w:szCs w:val="32"/>
          <w:highlight w:val="none"/>
          <w:lang w:eastAsia="zh-CN"/>
        </w:rPr>
      </w:pPr>
      <w:r>
        <w:rPr>
          <w:rFonts w:hint="eastAsia" w:ascii="仿宋_GB2312" w:hAnsi="Times New Roman" w:eastAsia="仿宋_GB2312" w:cs="Times New Roman"/>
          <w:kern w:val="2"/>
          <w:sz w:val="32"/>
          <w:szCs w:val="32"/>
          <w:highlight w:val="none"/>
          <w:lang w:val="en-US" w:eastAsia="zh-CN"/>
        </w:rPr>
        <w:t>1.</w:t>
      </w:r>
      <w:r>
        <w:rPr>
          <w:rFonts w:hint="eastAsia" w:ascii="仿宋_GB2312" w:hAnsi="Times New Roman" w:eastAsia="仿宋_GB2312" w:cs="Times New Roman"/>
          <w:kern w:val="2"/>
          <w:sz w:val="32"/>
          <w:szCs w:val="32"/>
          <w:highlight w:val="none"/>
          <w:lang w:eastAsia="zh-CN"/>
        </w:rPr>
        <w:t>文化旅游体育与传媒支出（类）文化和旅游（款）群众文化（项）：支出决算数为1,186.39万元，比上年决算增加57.23万元，增长5.07%，主要原因是：</w:t>
      </w:r>
      <w:r>
        <w:rPr>
          <w:rFonts w:hint="eastAsia" w:ascii="仿宋_GB2312" w:hAnsi="Times New Roman" w:eastAsia="仿宋_GB2312" w:cs="Times New Roman"/>
          <w:kern w:val="2"/>
          <w:sz w:val="32"/>
          <w:szCs w:val="32"/>
          <w:highlight w:val="none"/>
          <w:lang w:val="en-US" w:eastAsia="zh-CN"/>
        </w:rPr>
        <w:t>一是</w:t>
      </w:r>
      <w:r>
        <w:rPr>
          <w:rFonts w:hint="eastAsia" w:ascii="仿宋_GB2312" w:hAnsi="Times New Roman" w:eastAsia="仿宋_GB2312" w:cs="Times New Roman"/>
          <w:kern w:val="2"/>
          <w:sz w:val="32"/>
          <w:szCs w:val="32"/>
          <w:highlight w:val="none"/>
          <w:lang w:eastAsia="zh-CN"/>
        </w:rPr>
        <w:t>2024年度在职人员正常工资调标，基本支出增加；</w:t>
      </w:r>
      <w:r>
        <w:rPr>
          <w:rFonts w:hint="eastAsia" w:ascii="仿宋_GB2312" w:hAnsi="Times New Roman" w:eastAsia="仿宋_GB2312" w:cs="Times New Roman"/>
          <w:kern w:val="2"/>
          <w:sz w:val="32"/>
          <w:szCs w:val="32"/>
          <w:highlight w:val="none"/>
          <w:lang w:val="en-US" w:eastAsia="zh-CN"/>
        </w:rPr>
        <w:t>二是</w:t>
      </w:r>
      <w:r>
        <w:rPr>
          <w:rFonts w:hint="eastAsia" w:ascii="仿宋_GB2312" w:hAnsi="Times New Roman" w:eastAsia="仿宋_GB2312" w:cs="Times New Roman"/>
          <w:kern w:val="2"/>
          <w:sz w:val="32"/>
          <w:szCs w:val="32"/>
          <w:highlight w:val="none"/>
          <w:lang w:eastAsia="zh-CN"/>
        </w:rPr>
        <w:t>本年度新增中华优秀传统文化宣传推广项目</w:t>
      </w:r>
      <w:r>
        <w:rPr>
          <w:rFonts w:hint="eastAsia" w:ascii="仿宋_GB2312" w:hAnsi="Times New Roman" w:eastAsia="仿宋_GB2312" w:cs="Times New Roman"/>
          <w:kern w:val="2"/>
          <w:sz w:val="32"/>
          <w:szCs w:val="32"/>
          <w:highlight w:val="none"/>
          <w:lang w:val="en-US" w:eastAsia="zh-CN"/>
        </w:rPr>
        <w:t>经费</w:t>
      </w:r>
      <w:r>
        <w:rPr>
          <w:rFonts w:hint="eastAsia" w:ascii="仿宋_GB2312" w:hAnsi="Times New Roman" w:eastAsia="仿宋_GB2312" w:cs="Times New Roman"/>
          <w:kern w:val="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Times New Roman" w:eastAsia="仿宋_GB2312" w:cs="Times New Roman"/>
          <w:kern w:val="2"/>
          <w:sz w:val="32"/>
          <w:szCs w:val="32"/>
          <w:highlight w:val="none"/>
          <w:lang w:eastAsia="zh-CN"/>
        </w:rPr>
      </w:pPr>
      <w:r>
        <w:rPr>
          <w:rFonts w:hint="eastAsia" w:ascii="仿宋_GB2312" w:hAnsi="Times New Roman" w:eastAsia="仿宋_GB2312" w:cs="Times New Roman"/>
          <w:kern w:val="2"/>
          <w:sz w:val="32"/>
          <w:szCs w:val="32"/>
          <w:highlight w:val="none"/>
          <w:lang w:val="en-US" w:eastAsia="zh-CN"/>
        </w:rPr>
        <w:t>2.</w:t>
      </w:r>
      <w:r>
        <w:rPr>
          <w:rFonts w:hint="eastAsia" w:ascii="仿宋_GB2312" w:hAnsi="Times New Roman" w:eastAsia="仿宋_GB2312" w:cs="Times New Roman"/>
          <w:kern w:val="2"/>
          <w:sz w:val="32"/>
          <w:szCs w:val="32"/>
          <w:highlight w:val="none"/>
          <w:lang w:eastAsia="zh-CN"/>
        </w:rPr>
        <w:t>文化旅游体育与传媒支出（类）文化和旅游（款）文化创作与保护（项）：支出决算数为200.00万元，比上年决算增加</w:t>
      </w:r>
      <w:r>
        <w:rPr>
          <w:rFonts w:hint="eastAsia" w:ascii="仿宋_GB2312" w:hAnsi="Times New Roman" w:eastAsia="仿宋_GB2312" w:cs="Times New Roman"/>
          <w:color w:val="auto"/>
          <w:kern w:val="2"/>
          <w:sz w:val="32"/>
          <w:szCs w:val="32"/>
          <w:highlight w:val="none"/>
          <w:lang w:eastAsia="zh-CN"/>
        </w:rPr>
        <w:t>190.00万元，增长1,900.00%，主要原因是：2024年度自治区文艺扶持激励项目资金共拨款200</w:t>
      </w:r>
      <w:r>
        <w:rPr>
          <w:rFonts w:hint="eastAsia" w:ascii="仿宋_GB2312" w:hAnsi="Times New Roman" w:eastAsia="仿宋_GB2312" w:cs="Times New Roman"/>
          <w:color w:val="auto"/>
          <w:kern w:val="2"/>
          <w:sz w:val="32"/>
          <w:szCs w:val="32"/>
          <w:highlight w:val="none"/>
          <w:lang w:val="en-US" w:eastAsia="zh-CN"/>
        </w:rPr>
        <w:t>.00</w:t>
      </w:r>
      <w:r>
        <w:rPr>
          <w:rFonts w:hint="eastAsia" w:ascii="仿宋_GB2312" w:hAnsi="Times New Roman" w:eastAsia="仿宋_GB2312" w:cs="Times New Roman"/>
          <w:color w:val="auto"/>
          <w:kern w:val="2"/>
          <w:sz w:val="32"/>
          <w:szCs w:val="32"/>
          <w:highlight w:val="none"/>
          <w:lang w:eastAsia="zh-CN"/>
        </w:rPr>
        <w:t>万元比上年多190</w:t>
      </w:r>
      <w:r>
        <w:rPr>
          <w:rFonts w:hint="eastAsia" w:ascii="仿宋_GB2312" w:hAnsi="Times New Roman" w:eastAsia="仿宋_GB2312" w:cs="Times New Roman"/>
          <w:color w:val="auto"/>
          <w:kern w:val="2"/>
          <w:sz w:val="32"/>
          <w:szCs w:val="32"/>
          <w:highlight w:val="none"/>
          <w:lang w:val="en-US" w:eastAsia="zh-CN"/>
        </w:rPr>
        <w:t>.00</w:t>
      </w:r>
      <w:r>
        <w:rPr>
          <w:rFonts w:hint="eastAsia" w:ascii="仿宋_GB2312" w:hAnsi="Times New Roman" w:eastAsia="仿宋_GB2312" w:cs="Times New Roman"/>
          <w:color w:val="auto"/>
          <w:kern w:val="2"/>
          <w:sz w:val="32"/>
          <w:szCs w:val="32"/>
          <w:highlight w:val="none"/>
          <w:lang w:eastAsia="zh-CN"/>
        </w:rPr>
        <w:t>万元。</w:t>
      </w:r>
    </w:p>
    <w:p>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Times New Roman" w:eastAsia="仿宋_GB2312" w:cs="Times New Roman"/>
          <w:kern w:val="2"/>
          <w:sz w:val="32"/>
          <w:szCs w:val="32"/>
          <w:highlight w:val="none"/>
          <w:lang w:eastAsia="zh-CN"/>
        </w:rPr>
      </w:pPr>
      <w:r>
        <w:rPr>
          <w:rFonts w:hint="eastAsia" w:ascii="仿宋_GB2312" w:hAnsi="Times New Roman" w:eastAsia="仿宋_GB2312" w:cs="Times New Roman"/>
          <w:kern w:val="2"/>
          <w:sz w:val="32"/>
          <w:szCs w:val="32"/>
          <w:highlight w:val="none"/>
          <w:lang w:val="en-US" w:eastAsia="zh-CN"/>
        </w:rPr>
        <w:t>3.</w:t>
      </w:r>
      <w:r>
        <w:rPr>
          <w:rFonts w:hint="eastAsia" w:ascii="仿宋_GB2312" w:hAnsi="Times New Roman" w:eastAsia="仿宋_GB2312" w:cs="Times New Roman"/>
          <w:kern w:val="2"/>
          <w:sz w:val="32"/>
          <w:szCs w:val="32"/>
          <w:highlight w:val="none"/>
          <w:lang w:eastAsia="zh-CN"/>
        </w:rPr>
        <w:t>文化旅游体育与传媒支出（类）文化和旅游（款）旅游宣传（项）：支出决算数为80.00万元，比上年决算增加</w:t>
      </w:r>
      <w:r>
        <w:rPr>
          <w:rFonts w:hint="eastAsia" w:ascii="仿宋_GB2312" w:hAnsi="Times New Roman" w:eastAsia="仿宋_GB2312" w:cs="Times New Roman"/>
          <w:color w:val="auto"/>
          <w:kern w:val="2"/>
          <w:sz w:val="32"/>
          <w:szCs w:val="32"/>
          <w:highlight w:val="none"/>
          <w:lang w:eastAsia="zh-CN"/>
        </w:rPr>
        <w:t>80.00万元，增长100.00%，主要原因是：2024年自治区旅游发展专项资金</w:t>
      </w:r>
      <w:r>
        <w:rPr>
          <w:rFonts w:hint="eastAsia" w:ascii="仿宋_GB2312" w:hAnsi="Times New Roman" w:eastAsia="仿宋_GB2312" w:cs="Times New Roman"/>
          <w:color w:val="auto"/>
          <w:kern w:val="2"/>
          <w:sz w:val="32"/>
          <w:szCs w:val="32"/>
          <w:highlight w:val="none"/>
          <w:lang w:val="en-US" w:eastAsia="zh-CN"/>
        </w:rPr>
        <w:t>项目</w:t>
      </w:r>
      <w:r>
        <w:rPr>
          <w:rFonts w:hint="eastAsia" w:ascii="仿宋_GB2312" w:hAnsi="Times New Roman" w:eastAsia="仿宋_GB2312" w:cs="Times New Roman"/>
          <w:color w:val="auto"/>
          <w:kern w:val="2"/>
          <w:sz w:val="32"/>
          <w:szCs w:val="32"/>
          <w:highlight w:val="none"/>
          <w:lang w:eastAsia="zh-CN"/>
        </w:rPr>
        <w:t>拨款</w:t>
      </w:r>
      <w:r>
        <w:rPr>
          <w:rFonts w:hint="eastAsia" w:ascii="仿宋_GB2312" w:hAnsi="Times New Roman" w:eastAsia="仿宋_GB2312" w:cs="Times New Roman"/>
          <w:color w:val="auto"/>
          <w:kern w:val="2"/>
          <w:sz w:val="32"/>
          <w:szCs w:val="32"/>
          <w:highlight w:val="none"/>
          <w:lang w:val="en-US" w:eastAsia="zh-CN"/>
        </w:rPr>
        <w:t>增加</w:t>
      </w:r>
      <w:r>
        <w:rPr>
          <w:rFonts w:hint="eastAsia" w:ascii="仿宋_GB2312" w:hAnsi="Times New Roman" w:eastAsia="仿宋_GB2312" w:cs="Times New Roman"/>
          <w:color w:val="auto"/>
          <w:kern w:val="2"/>
          <w:sz w:val="32"/>
          <w:szCs w:val="32"/>
          <w:highlight w:val="none"/>
          <w:lang w:eastAsia="zh-CN"/>
        </w:rPr>
        <w:t>80</w:t>
      </w:r>
      <w:r>
        <w:rPr>
          <w:rFonts w:hint="eastAsia" w:ascii="仿宋_GB2312" w:hAnsi="Times New Roman" w:eastAsia="仿宋_GB2312" w:cs="Times New Roman"/>
          <w:color w:val="auto"/>
          <w:kern w:val="2"/>
          <w:sz w:val="32"/>
          <w:szCs w:val="32"/>
          <w:highlight w:val="none"/>
          <w:lang w:val="en-US" w:eastAsia="zh-CN"/>
        </w:rPr>
        <w:t>.00</w:t>
      </w:r>
      <w:r>
        <w:rPr>
          <w:rFonts w:hint="eastAsia" w:ascii="仿宋_GB2312" w:hAnsi="Times New Roman" w:eastAsia="仿宋_GB2312" w:cs="Times New Roman"/>
          <w:color w:val="auto"/>
          <w:kern w:val="2"/>
          <w:sz w:val="32"/>
          <w:szCs w:val="32"/>
          <w:highlight w:val="none"/>
          <w:lang w:eastAsia="zh-CN"/>
        </w:rPr>
        <w:t>万元</w:t>
      </w:r>
      <w:r>
        <w:rPr>
          <w:rFonts w:hint="eastAsia" w:ascii="仿宋_GB2312" w:hAnsi="Times New Roman" w:eastAsia="仿宋_GB2312" w:cs="Times New Roman"/>
          <w:kern w:val="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Times New Roman" w:eastAsia="仿宋_GB2312" w:cs="Times New Roman"/>
          <w:kern w:val="2"/>
          <w:sz w:val="32"/>
          <w:szCs w:val="32"/>
          <w:highlight w:val="none"/>
          <w:lang w:eastAsia="zh-CN"/>
        </w:rPr>
      </w:pPr>
      <w:r>
        <w:rPr>
          <w:rFonts w:hint="eastAsia" w:ascii="仿宋_GB2312" w:hAnsi="Times New Roman" w:eastAsia="仿宋_GB2312" w:cs="Times New Roman"/>
          <w:kern w:val="2"/>
          <w:sz w:val="32"/>
          <w:szCs w:val="32"/>
          <w:highlight w:val="none"/>
          <w:lang w:val="en-US" w:eastAsia="zh-CN"/>
        </w:rPr>
        <w:t>4.</w:t>
      </w:r>
      <w:r>
        <w:rPr>
          <w:rFonts w:hint="eastAsia" w:ascii="仿宋_GB2312" w:hAnsi="Times New Roman" w:eastAsia="仿宋_GB2312" w:cs="Times New Roman"/>
          <w:kern w:val="2"/>
          <w:sz w:val="32"/>
          <w:szCs w:val="32"/>
          <w:highlight w:val="none"/>
          <w:lang w:eastAsia="zh-CN"/>
        </w:rPr>
        <w:t>文化旅游体育与传媒支出（类）文化和旅游（款）其他文化和旅游支出（项）：支出决算数为122.48万元，比上年决算减少33.56万元，下降21.51%，主要原因是：本年度自治区旅游发展专项资金计入旅游宣传科目。</w:t>
      </w:r>
    </w:p>
    <w:p>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both"/>
        <w:textAlignment w:val="auto"/>
        <w:rPr>
          <w:rFonts w:ascii="仿宋_GB2312" w:eastAsia="仿宋_GB2312"/>
          <w:sz w:val="32"/>
          <w:szCs w:val="32"/>
        </w:rPr>
      </w:pPr>
      <w:r>
        <w:rPr>
          <w:rFonts w:hint="eastAsia" w:ascii="仿宋_GB2312" w:hAnsi="Times New Roman" w:eastAsia="仿宋_GB2312" w:cs="Times New Roman"/>
          <w:kern w:val="2"/>
          <w:sz w:val="32"/>
          <w:szCs w:val="32"/>
          <w:highlight w:val="none"/>
          <w:lang w:val="en-US" w:eastAsia="zh-CN"/>
        </w:rPr>
        <w:t>5.</w:t>
      </w:r>
      <w:r>
        <w:rPr>
          <w:rFonts w:hint="eastAsia" w:ascii="仿宋_GB2312" w:hAnsi="Times New Roman" w:eastAsia="仿宋_GB2312" w:cs="Times New Roman"/>
          <w:kern w:val="2"/>
          <w:sz w:val="32"/>
          <w:szCs w:val="32"/>
          <w:highlight w:val="none"/>
          <w:lang w:eastAsia="zh-CN"/>
        </w:rPr>
        <w:t>文化旅游体育与传媒支出（类）其他文化旅游体育与传媒支出（款）其他文化旅游体育与传媒支出（项）：支出决算数为842.72万元，比上年决算增加368.51万元，增长77.71%，主要原因是：本年度中央补助地方公共文化服务体系建设补助资金</w:t>
      </w:r>
      <w:r>
        <w:rPr>
          <w:rFonts w:hint="eastAsia" w:ascii="仿宋_GB2312" w:hAnsi="Times New Roman" w:eastAsia="仿宋_GB2312" w:cs="Times New Roman"/>
          <w:kern w:val="2"/>
          <w:sz w:val="32"/>
          <w:szCs w:val="32"/>
          <w:highlight w:val="none"/>
          <w:lang w:val="en-US" w:eastAsia="zh-CN"/>
        </w:rPr>
        <w:t>支出比上年增加368.51</w:t>
      </w:r>
      <w:r>
        <w:rPr>
          <w:rFonts w:hint="eastAsia" w:ascii="仿宋_GB2312" w:hAnsi="Times New Roman" w:eastAsia="仿宋_GB2312" w:cs="Times New Roman"/>
          <w:kern w:val="2"/>
          <w:sz w:val="32"/>
          <w:szCs w:val="32"/>
          <w:highlight w:val="none"/>
          <w:lang w:eastAsia="zh-CN"/>
        </w:rPr>
        <w:t>万元。</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六、一般公共预算财政拨款基本支出决算情况说明</w:t>
      </w:r>
    </w:p>
    <w:p>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Times New Roman" w:eastAsia="仿宋_GB2312" w:cs="Times New Roman"/>
          <w:kern w:val="2"/>
          <w:sz w:val="32"/>
          <w:szCs w:val="32"/>
          <w:highlight w:val="none"/>
          <w:lang w:eastAsia="zh-CN"/>
        </w:rPr>
      </w:pPr>
      <w:r>
        <w:rPr>
          <w:rFonts w:hint="eastAsia" w:ascii="仿宋_GB2312" w:hAnsi="Times New Roman" w:eastAsia="仿宋_GB2312" w:cs="Times New Roman"/>
          <w:kern w:val="2"/>
          <w:sz w:val="32"/>
          <w:szCs w:val="32"/>
          <w:highlight w:val="none"/>
          <w:lang w:eastAsia="zh-CN"/>
        </w:rPr>
        <w:t>2024年度一般公共预算财政拨款基本支出951.59万元，其中：</w:t>
      </w:r>
      <w:r>
        <w:rPr>
          <w:rFonts w:hint="eastAsia" w:ascii="仿宋_GB2312" w:hAnsi="Times New Roman" w:eastAsia="仿宋_GB2312" w:cs="Times New Roman"/>
          <w:b/>
          <w:bCs/>
          <w:kern w:val="2"/>
          <w:sz w:val="32"/>
          <w:szCs w:val="32"/>
          <w:highlight w:val="none"/>
          <w:lang w:eastAsia="zh-CN"/>
        </w:rPr>
        <w:t>人员经费900.88万元，</w:t>
      </w:r>
      <w:r>
        <w:rPr>
          <w:rFonts w:hint="eastAsia" w:ascii="仿宋_GB2312" w:hAnsi="Times New Roman" w:eastAsia="仿宋_GB2312" w:cs="Times New Roman"/>
          <w:kern w:val="2"/>
          <w:sz w:val="32"/>
          <w:szCs w:val="32"/>
          <w:highlight w:val="none"/>
          <w:lang w:eastAsia="zh-CN"/>
        </w:rPr>
        <w:t>包括：基本工资、津贴补贴、奖金、绩效工资、机关事业单位基本养老保险缴费、职工基本医疗保险缴费、公务员医疗补助缴费、其他社会保障缴费、住房公积金、其他工资福利支出、退休费、抚恤金、生活补助和其他对个人和家庭的补助。</w:t>
      </w:r>
    </w:p>
    <w:p>
      <w:pPr>
        <w:keepNext w:val="0"/>
        <w:keepLines w:val="0"/>
        <w:pageBreakBefore w:val="0"/>
        <w:widowControl w:val="0"/>
        <w:kinsoku/>
        <w:wordWrap/>
        <w:overflowPunct/>
        <w:topLinePunct w:val="0"/>
        <w:autoSpaceDE/>
        <w:autoSpaceDN/>
        <w:bidi w:val="0"/>
        <w:adjustRightInd/>
        <w:snapToGrid/>
        <w:spacing w:after="0" w:line="560" w:lineRule="exact"/>
        <w:ind w:firstLine="642" w:firstLineChars="200"/>
        <w:jc w:val="both"/>
        <w:textAlignment w:val="auto"/>
        <w:rPr>
          <w:rFonts w:hint="eastAsia" w:ascii="仿宋_GB2312" w:hAnsi="Times New Roman" w:eastAsia="仿宋_GB2312" w:cs="Times New Roman"/>
          <w:kern w:val="2"/>
          <w:sz w:val="32"/>
          <w:szCs w:val="32"/>
          <w:highlight w:val="none"/>
          <w:lang w:eastAsia="zh-CN"/>
        </w:rPr>
      </w:pPr>
      <w:r>
        <w:rPr>
          <w:rFonts w:hint="eastAsia" w:ascii="仿宋_GB2312" w:hAnsi="Times New Roman" w:eastAsia="仿宋_GB2312" w:cs="Times New Roman"/>
          <w:b/>
          <w:bCs/>
          <w:kern w:val="2"/>
          <w:sz w:val="32"/>
          <w:szCs w:val="32"/>
          <w:highlight w:val="none"/>
          <w:lang w:eastAsia="zh-CN"/>
        </w:rPr>
        <w:t>公用经费50.71万元，</w:t>
      </w:r>
      <w:r>
        <w:rPr>
          <w:rFonts w:hint="eastAsia" w:ascii="仿宋_GB2312" w:hAnsi="Times New Roman" w:eastAsia="仿宋_GB2312" w:cs="Times New Roman"/>
          <w:kern w:val="2"/>
          <w:sz w:val="32"/>
          <w:szCs w:val="32"/>
          <w:highlight w:val="none"/>
          <w:lang w:eastAsia="zh-CN"/>
        </w:rPr>
        <w:t>包括：办公费、邮电费、取暖费、差旅费、工会经费、福利费、公务用车运行维护费和其他商品和服务支出。</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七、政府性基金预算财政拨款收入支出决算情况说明</w:t>
      </w:r>
    </w:p>
    <w:p>
      <w:pPr>
        <w:keepNext w:val="0"/>
        <w:keepLines w:val="0"/>
        <w:pageBreakBefore w:val="0"/>
        <w:widowControl w:val="0"/>
        <w:kinsoku/>
        <w:wordWrap/>
        <w:overflowPunct/>
        <w:topLinePunct w:val="0"/>
        <w:autoSpaceDE/>
        <w:autoSpaceDN/>
        <w:bidi w:val="0"/>
        <w:adjustRightInd/>
        <w:snapToGrid/>
        <w:spacing w:after="0" w:line="560" w:lineRule="exact"/>
        <w:ind w:firstLine="642" w:firstLineChars="200"/>
        <w:jc w:val="both"/>
        <w:textAlignment w:val="auto"/>
        <w:rPr>
          <w:rFonts w:hint="eastAsia" w:ascii="仿宋_GB2312" w:hAnsi="Times New Roman" w:eastAsia="仿宋_GB2312" w:cs="Times New Roman"/>
          <w:kern w:val="2"/>
          <w:sz w:val="32"/>
          <w:szCs w:val="32"/>
          <w:highlight w:val="none"/>
          <w:lang w:eastAsia="zh-CN"/>
        </w:rPr>
      </w:pPr>
      <w:r>
        <w:rPr>
          <w:rFonts w:hint="eastAsia" w:ascii="仿宋_GB2312" w:hAnsi="Times New Roman" w:eastAsia="仿宋_GB2312" w:cs="Times New Roman"/>
          <w:b/>
          <w:bCs/>
          <w:kern w:val="2"/>
          <w:sz w:val="32"/>
          <w:szCs w:val="32"/>
          <w:highlight w:val="none"/>
          <w:lang w:eastAsia="zh-CN"/>
        </w:rPr>
        <w:t>2024年度政府性基金预算财政拨款收入总计445.00万元，</w:t>
      </w:r>
      <w:r>
        <w:rPr>
          <w:rFonts w:hint="eastAsia" w:ascii="仿宋_GB2312" w:hAnsi="Times New Roman" w:eastAsia="仿宋_GB2312" w:cs="Times New Roman"/>
          <w:kern w:val="2"/>
          <w:sz w:val="32"/>
          <w:szCs w:val="32"/>
          <w:highlight w:val="none"/>
          <w:lang w:eastAsia="zh-CN"/>
        </w:rPr>
        <w:t>其中：年初结转和结余0.00万元，本年收入445.00万元。</w:t>
      </w:r>
      <w:r>
        <w:rPr>
          <w:rFonts w:hint="eastAsia" w:ascii="仿宋_GB2312" w:hAnsi="Times New Roman" w:eastAsia="仿宋_GB2312" w:cs="Times New Roman"/>
          <w:b/>
          <w:bCs/>
          <w:kern w:val="2"/>
          <w:sz w:val="32"/>
          <w:szCs w:val="32"/>
          <w:highlight w:val="none"/>
          <w:lang w:eastAsia="zh-CN"/>
        </w:rPr>
        <w:t>政府性基金预算财政拨款支出总计445.00万元，</w:t>
      </w:r>
      <w:r>
        <w:rPr>
          <w:rFonts w:hint="eastAsia" w:ascii="仿宋_GB2312" w:hAnsi="Times New Roman" w:eastAsia="仿宋_GB2312" w:cs="Times New Roman"/>
          <w:kern w:val="2"/>
          <w:sz w:val="32"/>
          <w:szCs w:val="32"/>
          <w:highlight w:val="none"/>
          <w:lang w:eastAsia="zh-CN"/>
        </w:rPr>
        <w:t>其中：年末结转和结余0.00万元，本年支出445.00万元。</w:t>
      </w:r>
    </w:p>
    <w:p>
      <w:pPr>
        <w:keepNext w:val="0"/>
        <w:keepLines w:val="0"/>
        <w:pageBreakBefore w:val="0"/>
        <w:widowControl w:val="0"/>
        <w:kinsoku/>
        <w:wordWrap/>
        <w:overflowPunct/>
        <w:topLinePunct w:val="0"/>
        <w:autoSpaceDE/>
        <w:autoSpaceDN/>
        <w:bidi w:val="0"/>
        <w:adjustRightInd/>
        <w:snapToGrid/>
        <w:spacing w:after="0" w:line="560" w:lineRule="exact"/>
        <w:ind w:firstLine="642" w:firstLineChars="200"/>
        <w:jc w:val="both"/>
        <w:textAlignment w:val="auto"/>
        <w:rPr>
          <w:rFonts w:hint="eastAsia" w:ascii="仿宋_GB2312" w:hAnsi="Times New Roman" w:eastAsia="仿宋_GB2312" w:cs="Times New Roman"/>
          <w:kern w:val="2"/>
          <w:sz w:val="32"/>
          <w:szCs w:val="32"/>
          <w:highlight w:val="none"/>
          <w:lang w:eastAsia="zh-CN"/>
        </w:rPr>
      </w:pPr>
      <w:r>
        <w:rPr>
          <w:rFonts w:hint="eastAsia" w:ascii="仿宋_GB2312" w:hAnsi="Times New Roman" w:eastAsia="仿宋_GB2312" w:cs="Times New Roman"/>
          <w:b/>
          <w:bCs/>
          <w:kern w:val="2"/>
          <w:sz w:val="32"/>
          <w:szCs w:val="32"/>
          <w:highlight w:val="none"/>
          <w:lang w:eastAsia="zh-CN"/>
        </w:rPr>
        <w:t>政府性基金预算财政拨款收入支出总体与上年相比，</w:t>
      </w:r>
      <w:r>
        <w:rPr>
          <w:rFonts w:hint="eastAsia" w:ascii="仿宋_GB2312" w:hAnsi="Times New Roman" w:eastAsia="仿宋_GB2312" w:cs="Times New Roman"/>
          <w:kern w:val="2"/>
          <w:sz w:val="32"/>
          <w:szCs w:val="32"/>
          <w:highlight w:val="none"/>
          <w:lang w:eastAsia="zh-CN"/>
        </w:rPr>
        <w:t>增加360.00万元，增长423.53%，主要原因是：本年度</w:t>
      </w:r>
      <w:r>
        <w:rPr>
          <w:rFonts w:hint="eastAsia" w:ascii="仿宋_GB2312" w:hAnsi="Times New Roman" w:eastAsia="仿宋_GB2312" w:cs="Times New Roman"/>
          <w:kern w:val="2"/>
          <w:sz w:val="32"/>
          <w:szCs w:val="32"/>
          <w:highlight w:val="none"/>
          <w:lang w:val="en-US" w:eastAsia="zh-CN"/>
        </w:rPr>
        <w:t>新增</w:t>
      </w:r>
      <w:r>
        <w:rPr>
          <w:rFonts w:hint="eastAsia" w:ascii="仿宋_GB2312" w:hAnsi="Times New Roman" w:eastAsia="仿宋_GB2312" w:cs="Times New Roman"/>
          <w:kern w:val="2"/>
          <w:sz w:val="32"/>
          <w:szCs w:val="32"/>
          <w:highlight w:val="none"/>
          <w:lang w:eastAsia="zh-CN"/>
        </w:rPr>
        <w:t>“群星耀天山”文化艺术作品海选及展演项目</w:t>
      </w:r>
      <w:r>
        <w:rPr>
          <w:rFonts w:hint="eastAsia" w:ascii="仿宋_GB2312" w:hAnsi="Times New Roman" w:eastAsia="仿宋_GB2312" w:cs="Times New Roman"/>
          <w:kern w:val="2"/>
          <w:sz w:val="32"/>
          <w:szCs w:val="32"/>
          <w:highlight w:val="none"/>
          <w:lang w:val="en-US" w:eastAsia="zh-CN"/>
        </w:rPr>
        <w:t>经费</w:t>
      </w:r>
      <w:r>
        <w:rPr>
          <w:rFonts w:hint="eastAsia" w:ascii="仿宋_GB2312" w:hAnsi="Times New Roman" w:eastAsia="仿宋_GB2312" w:cs="Times New Roman"/>
          <w:kern w:val="2"/>
          <w:sz w:val="32"/>
          <w:szCs w:val="32"/>
          <w:highlight w:val="none"/>
          <w:lang w:eastAsia="zh-CN"/>
        </w:rPr>
        <w:t>。</w:t>
      </w:r>
      <w:r>
        <w:rPr>
          <w:rFonts w:hint="eastAsia" w:ascii="仿宋_GB2312" w:hAnsi="Times New Roman" w:eastAsia="仿宋_GB2312" w:cs="Times New Roman"/>
          <w:b/>
          <w:bCs/>
          <w:kern w:val="2"/>
          <w:sz w:val="32"/>
          <w:szCs w:val="32"/>
          <w:highlight w:val="none"/>
          <w:lang w:eastAsia="zh-CN"/>
        </w:rPr>
        <w:t>与年初预算相比，</w:t>
      </w:r>
      <w:r>
        <w:rPr>
          <w:rFonts w:hint="eastAsia" w:ascii="仿宋_GB2312" w:hAnsi="Times New Roman" w:eastAsia="仿宋_GB2312" w:cs="Times New Roman"/>
          <w:kern w:val="2"/>
          <w:sz w:val="32"/>
          <w:szCs w:val="32"/>
          <w:highlight w:val="none"/>
          <w:lang w:eastAsia="zh-CN"/>
        </w:rPr>
        <w:t>年初预算数0.00万元，决算数445.00万元，预决算差异率100%，主要原因是：本年</w:t>
      </w:r>
      <w:r>
        <w:rPr>
          <w:rFonts w:hint="eastAsia" w:ascii="仿宋_GB2312" w:hAnsi="Times New Roman" w:eastAsia="仿宋_GB2312" w:cs="Times New Roman"/>
          <w:kern w:val="2"/>
          <w:sz w:val="32"/>
          <w:szCs w:val="32"/>
          <w:highlight w:val="none"/>
          <w:lang w:val="en-US" w:eastAsia="zh-CN"/>
        </w:rPr>
        <w:t>新增</w:t>
      </w:r>
      <w:r>
        <w:rPr>
          <w:rFonts w:hint="eastAsia" w:ascii="仿宋_GB2312" w:hAnsi="Times New Roman" w:eastAsia="仿宋_GB2312" w:cs="Times New Roman"/>
          <w:kern w:val="2"/>
          <w:sz w:val="32"/>
          <w:szCs w:val="32"/>
          <w:highlight w:val="none"/>
          <w:lang w:eastAsia="zh-CN"/>
        </w:rPr>
        <w:t>“群星耀天山”文化艺术作品海选及展演项目、自治区彩票公益金支持文化和旅游志愿服务项目</w:t>
      </w:r>
      <w:r>
        <w:rPr>
          <w:rFonts w:hint="eastAsia" w:ascii="仿宋_GB2312" w:hAnsi="Times New Roman" w:eastAsia="仿宋_GB2312" w:cs="Times New Roman"/>
          <w:kern w:val="2"/>
          <w:sz w:val="32"/>
          <w:szCs w:val="32"/>
          <w:highlight w:val="none"/>
          <w:lang w:val="en-US" w:eastAsia="zh-CN"/>
        </w:rPr>
        <w:t>经费</w:t>
      </w:r>
      <w:r>
        <w:rPr>
          <w:rFonts w:hint="eastAsia" w:ascii="仿宋_GB2312" w:hAnsi="Times New Roman" w:eastAsia="仿宋_GB2312" w:cs="Times New Roman"/>
          <w:kern w:val="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after="0" w:line="560" w:lineRule="exact"/>
        <w:ind w:firstLine="642" w:firstLineChars="200"/>
        <w:jc w:val="both"/>
        <w:textAlignment w:val="auto"/>
        <w:rPr>
          <w:rFonts w:hint="eastAsia" w:ascii="仿宋_GB2312" w:hAnsi="Times New Roman" w:eastAsia="仿宋_GB2312" w:cs="Times New Roman"/>
          <w:kern w:val="2"/>
          <w:sz w:val="32"/>
          <w:szCs w:val="32"/>
          <w:highlight w:val="none"/>
          <w:lang w:eastAsia="zh-CN"/>
        </w:rPr>
      </w:pPr>
      <w:r>
        <w:rPr>
          <w:rFonts w:hint="eastAsia" w:ascii="仿宋_GB2312" w:hAnsi="Times New Roman" w:eastAsia="仿宋_GB2312" w:cs="Times New Roman"/>
          <w:b/>
          <w:bCs/>
          <w:kern w:val="2"/>
          <w:sz w:val="32"/>
          <w:szCs w:val="32"/>
          <w:highlight w:val="none"/>
          <w:lang w:eastAsia="zh-CN"/>
        </w:rPr>
        <w:t>政府性基金预算财政拨款支出445.00万元。</w:t>
      </w:r>
    </w:p>
    <w:p>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Times New Roman" w:eastAsia="仿宋_GB2312" w:cs="Times New Roman"/>
          <w:kern w:val="2"/>
          <w:sz w:val="32"/>
          <w:szCs w:val="32"/>
          <w:highlight w:val="none"/>
          <w:lang w:eastAsia="zh-CN"/>
        </w:rPr>
      </w:pPr>
      <w:r>
        <w:rPr>
          <w:rFonts w:hint="eastAsia" w:ascii="仿宋_GB2312" w:hAnsi="Times New Roman" w:eastAsia="仿宋_GB2312" w:cs="Times New Roman"/>
          <w:kern w:val="2"/>
          <w:sz w:val="32"/>
          <w:szCs w:val="32"/>
          <w:highlight w:val="none"/>
          <w:lang w:val="en-US" w:eastAsia="zh-CN"/>
        </w:rPr>
        <w:t>1.</w:t>
      </w:r>
      <w:r>
        <w:rPr>
          <w:rFonts w:hint="eastAsia" w:ascii="仿宋_GB2312" w:hAnsi="Times New Roman" w:eastAsia="仿宋_GB2312" w:cs="Times New Roman"/>
          <w:kern w:val="2"/>
          <w:sz w:val="32"/>
          <w:szCs w:val="32"/>
          <w:highlight w:val="none"/>
          <w:lang w:eastAsia="zh-CN"/>
        </w:rPr>
        <w:t>其他支出（类）彩票公益金安排的支出（款）用于文化事业的彩票公益金支出（项）：支出决算数为445.00万元，比上年决算增加360.00万元，增长423.53%，主要原因是：本年</w:t>
      </w:r>
      <w:r>
        <w:rPr>
          <w:rFonts w:hint="eastAsia" w:ascii="仿宋_GB2312" w:hAnsi="Times New Roman" w:eastAsia="仿宋_GB2312" w:cs="Times New Roman"/>
          <w:kern w:val="2"/>
          <w:sz w:val="32"/>
          <w:szCs w:val="32"/>
          <w:highlight w:val="none"/>
          <w:lang w:val="en-US" w:eastAsia="zh-CN"/>
        </w:rPr>
        <w:t>新增</w:t>
      </w:r>
      <w:r>
        <w:rPr>
          <w:rFonts w:hint="eastAsia" w:ascii="仿宋_GB2312" w:hAnsi="Times New Roman" w:eastAsia="仿宋_GB2312" w:cs="Times New Roman"/>
          <w:kern w:val="2"/>
          <w:sz w:val="32"/>
          <w:szCs w:val="32"/>
          <w:highlight w:val="none"/>
          <w:lang w:eastAsia="zh-CN"/>
        </w:rPr>
        <w:t>“群星耀天山”文化艺术作品海选及展演项目</w:t>
      </w:r>
      <w:r>
        <w:rPr>
          <w:rFonts w:hint="eastAsia" w:ascii="仿宋_GB2312" w:hAnsi="Times New Roman" w:eastAsia="仿宋_GB2312" w:cs="Times New Roman"/>
          <w:kern w:val="2"/>
          <w:sz w:val="32"/>
          <w:szCs w:val="32"/>
          <w:highlight w:val="none"/>
          <w:lang w:val="en-US" w:eastAsia="zh-CN"/>
        </w:rPr>
        <w:t>经费</w:t>
      </w:r>
      <w:r>
        <w:rPr>
          <w:rFonts w:hint="eastAsia" w:ascii="仿宋_GB2312" w:hAnsi="Times New Roman" w:eastAsia="仿宋_GB2312" w:cs="Times New Roman"/>
          <w:kern w:val="2"/>
          <w:sz w:val="32"/>
          <w:szCs w:val="32"/>
          <w:highlight w:val="none"/>
          <w:lang w:eastAsia="zh-CN"/>
        </w:rPr>
        <w:t>。</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八、国有资本经营预算财政拨款收入支出决算情况说明</w:t>
      </w:r>
    </w:p>
    <w:p>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Times New Roman" w:eastAsia="仿宋_GB2312" w:cs="Times New Roman"/>
          <w:kern w:val="2"/>
          <w:sz w:val="32"/>
          <w:szCs w:val="32"/>
          <w:highlight w:val="none"/>
          <w:lang w:eastAsia="zh-CN"/>
        </w:rPr>
      </w:pPr>
      <w:r>
        <w:rPr>
          <w:rFonts w:hint="eastAsia" w:ascii="仿宋_GB2312" w:hAnsi="Times New Roman" w:eastAsia="仿宋_GB2312" w:cs="Times New Roman"/>
          <w:kern w:val="2"/>
          <w:sz w:val="32"/>
          <w:szCs w:val="32"/>
          <w:highlight w:val="none"/>
          <w:lang w:eastAsia="zh-CN"/>
        </w:rPr>
        <w:t>本单位本年度无国有资本经营预算财政拨款收入、支出及结转和结余，国有资本经营预算财政拨款收入支出决算表为空表。</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九、财政拨款</w:t>
      </w:r>
      <w:r>
        <w:rPr>
          <w:rFonts w:hint="eastAsia" w:ascii="黑体" w:eastAsia="黑体"/>
          <w:b w:val="0"/>
          <w:sz w:val="32"/>
          <w:szCs w:val="32"/>
          <w:lang w:eastAsia="zh-CN"/>
        </w:rPr>
        <w:t>“</w:t>
      </w:r>
      <w:r>
        <w:rPr>
          <w:rFonts w:ascii="黑体" w:eastAsia="黑体"/>
          <w:b w:val="0"/>
          <w:sz w:val="32"/>
          <w:szCs w:val="32"/>
        </w:rPr>
        <w:t>三公</w:t>
      </w:r>
      <w:r>
        <w:rPr>
          <w:rFonts w:hint="eastAsia" w:ascii="黑体" w:eastAsia="黑体"/>
          <w:b w:val="0"/>
          <w:sz w:val="32"/>
          <w:szCs w:val="32"/>
          <w:lang w:eastAsia="zh-CN"/>
        </w:rPr>
        <w:t>”</w:t>
      </w:r>
      <w:r>
        <w:rPr>
          <w:rFonts w:ascii="黑体" w:eastAsia="黑体"/>
          <w:b w:val="0"/>
          <w:sz w:val="32"/>
          <w:szCs w:val="32"/>
        </w:rPr>
        <w:t>经费支出决算情况说明</w:t>
      </w:r>
    </w:p>
    <w:p>
      <w:pPr>
        <w:keepNext w:val="0"/>
        <w:keepLines w:val="0"/>
        <w:pageBreakBefore w:val="0"/>
        <w:widowControl w:val="0"/>
        <w:kinsoku/>
        <w:wordWrap/>
        <w:overflowPunct/>
        <w:topLinePunct w:val="0"/>
        <w:autoSpaceDE/>
        <w:autoSpaceDN/>
        <w:bidi w:val="0"/>
        <w:adjustRightInd/>
        <w:snapToGrid/>
        <w:spacing w:after="0" w:line="560" w:lineRule="exact"/>
        <w:ind w:firstLine="642" w:firstLineChars="200"/>
        <w:jc w:val="both"/>
        <w:textAlignment w:val="auto"/>
        <w:rPr>
          <w:rFonts w:hint="eastAsia" w:ascii="仿宋_GB2312" w:hAnsi="Times New Roman" w:eastAsia="仿宋_GB2312" w:cs="Times New Roman"/>
          <w:kern w:val="2"/>
          <w:sz w:val="32"/>
          <w:szCs w:val="32"/>
          <w:highlight w:val="none"/>
          <w:lang w:eastAsia="zh-CN"/>
        </w:rPr>
      </w:pPr>
      <w:r>
        <w:rPr>
          <w:rFonts w:hint="eastAsia" w:ascii="仿宋_GB2312" w:hAnsi="Times New Roman" w:eastAsia="仿宋_GB2312" w:cs="Times New Roman"/>
          <w:b/>
          <w:bCs/>
          <w:kern w:val="2"/>
          <w:sz w:val="32"/>
          <w:szCs w:val="32"/>
          <w:highlight w:val="none"/>
          <w:lang w:eastAsia="zh-CN"/>
        </w:rPr>
        <w:t>2024年度财政拨款“三公”经费支出4.60万元，</w:t>
      </w:r>
      <w:r>
        <w:rPr>
          <w:rFonts w:hint="eastAsia" w:ascii="仿宋_GB2312" w:hAnsi="Times New Roman" w:eastAsia="仿宋_GB2312" w:cs="Times New Roman"/>
          <w:b w:val="0"/>
          <w:bCs w:val="0"/>
          <w:kern w:val="2"/>
          <w:sz w:val="32"/>
          <w:szCs w:val="32"/>
          <w:highlight w:val="none"/>
          <w:lang w:val="en-US" w:eastAsia="zh-CN"/>
        </w:rPr>
        <w:t>比上年增加0万元，增长0%，</w:t>
      </w:r>
      <w:r>
        <w:rPr>
          <w:rFonts w:hint="eastAsia" w:ascii="仿宋_GB2312" w:hAnsi="Times New Roman" w:eastAsia="仿宋_GB2312" w:cs="Times New Roman"/>
          <w:kern w:val="2"/>
          <w:sz w:val="32"/>
          <w:szCs w:val="32"/>
          <w:highlight w:val="none"/>
          <w:lang w:eastAsia="zh-CN"/>
        </w:rPr>
        <w:t>主要原因是：</w:t>
      </w:r>
      <w:r>
        <w:rPr>
          <w:rFonts w:hint="eastAsia" w:ascii="仿宋_GB2312" w:hAnsi="Times New Roman" w:eastAsia="仿宋_GB2312" w:cs="Times New Roman"/>
          <w:kern w:val="2"/>
          <w:sz w:val="32"/>
          <w:szCs w:val="32"/>
          <w:highlight w:val="none"/>
          <w:lang w:val="en-US" w:eastAsia="zh-CN"/>
        </w:rPr>
        <w:t>我单位</w:t>
      </w:r>
      <w:r>
        <w:rPr>
          <w:rFonts w:hint="eastAsia" w:ascii="仿宋_GB2312" w:hAnsi="Times New Roman" w:eastAsia="仿宋_GB2312" w:cs="Times New Roman"/>
          <w:kern w:val="2"/>
          <w:sz w:val="32"/>
          <w:szCs w:val="32"/>
          <w:highlight w:val="none"/>
          <w:lang w:eastAsia="zh-CN"/>
        </w:rPr>
        <w:t>公务用车数量未发生增减变化，费用与上年保持不变。其中：因公出国（境）费支出0.00万元,占0.00%，</w:t>
      </w:r>
      <w:r>
        <w:rPr>
          <w:rFonts w:hint="eastAsia" w:ascii="仿宋_GB2312" w:hAnsi="Times New Roman" w:eastAsia="仿宋_GB2312" w:cs="Times New Roman"/>
          <w:b w:val="0"/>
          <w:bCs w:val="0"/>
          <w:kern w:val="2"/>
          <w:sz w:val="32"/>
          <w:szCs w:val="32"/>
          <w:highlight w:val="none"/>
          <w:lang w:val="en-US" w:eastAsia="zh-CN"/>
        </w:rPr>
        <w:t>比上年增加0万元，增长0%</w:t>
      </w:r>
      <w:r>
        <w:rPr>
          <w:rFonts w:hint="eastAsia" w:ascii="仿宋_GB2312" w:hAnsi="Times New Roman" w:eastAsia="仿宋_GB2312" w:cs="Times New Roman"/>
          <w:kern w:val="2"/>
          <w:sz w:val="32"/>
          <w:szCs w:val="32"/>
          <w:highlight w:val="none"/>
          <w:lang w:eastAsia="zh-CN"/>
        </w:rPr>
        <w:t>，主要原因是：2023年与2024年均未安排因公出国（境）费支出；公务用车购置及运行维护费支出4.60万元，占100.00%，</w:t>
      </w:r>
      <w:r>
        <w:rPr>
          <w:rFonts w:hint="eastAsia" w:ascii="仿宋_GB2312" w:hAnsi="Times New Roman" w:eastAsia="仿宋_GB2312" w:cs="Times New Roman"/>
          <w:b w:val="0"/>
          <w:bCs w:val="0"/>
          <w:kern w:val="2"/>
          <w:sz w:val="32"/>
          <w:szCs w:val="32"/>
          <w:highlight w:val="none"/>
          <w:lang w:val="en-US" w:eastAsia="zh-CN"/>
        </w:rPr>
        <w:t>比上年增加0万元，增长0%，</w:t>
      </w:r>
      <w:r>
        <w:rPr>
          <w:rFonts w:hint="eastAsia" w:ascii="仿宋_GB2312" w:hAnsi="Times New Roman" w:eastAsia="仿宋_GB2312" w:cs="Times New Roman"/>
          <w:kern w:val="2"/>
          <w:sz w:val="32"/>
          <w:szCs w:val="32"/>
          <w:highlight w:val="none"/>
          <w:lang w:eastAsia="zh-CN"/>
        </w:rPr>
        <w:t>主要原因是：2023年与2024年均未安排</w:t>
      </w:r>
      <w:r>
        <w:rPr>
          <w:rFonts w:hint="eastAsia" w:ascii="仿宋_GB2312" w:hAnsi="Times New Roman" w:eastAsia="仿宋_GB2312" w:cs="Times New Roman"/>
          <w:kern w:val="2"/>
          <w:sz w:val="32"/>
          <w:szCs w:val="32"/>
          <w:highlight w:val="none"/>
          <w:lang w:val="en-US" w:eastAsia="zh-CN"/>
        </w:rPr>
        <w:t>公务用车购置费用，公务用车数量未发生增减变化，费用与上年保持不变</w:t>
      </w:r>
      <w:r>
        <w:rPr>
          <w:rFonts w:hint="eastAsia" w:ascii="仿宋_GB2312" w:hAnsi="Times New Roman" w:eastAsia="仿宋_GB2312" w:cs="Times New Roman"/>
          <w:kern w:val="2"/>
          <w:sz w:val="32"/>
          <w:szCs w:val="32"/>
          <w:highlight w:val="none"/>
          <w:lang w:eastAsia="zh-CN"/>
        </w:rPr>
        <w:t>；公务接待费支出0.00万元，占0.00%，</w:t>
      </w:r>
      <w:r>
        <w:rPr>
          <w:rFonts w:hint="eastAsia" w:ascii="仿宋_GB2312" w:hAnsi="Times New Roman" w:eastAsia="仿宋_GB2312" w:cs="Times New Roman"/>
          <w:b w:val="0"/>
          <w:bCs w:val="0"/>
          <w:kern w:val="2"/>
          <w:sz w:val="32"/>
          <w:szCs w:val="32"/>
          <w:highlight w:val="none"/>
          <w:lang w:val="en-US" w:eastAsia="zh-CN"/>
        </w:rPr>
        <w:t>比上年增加0万元，增长0%，</w:t>
      </w:r>
      <w:r>
        <w:rPr>
          <w:rFonts w:hint="eastAsia" w:ascii="仿宋_GB2312" w:hAnsi="Times New Roman" w:eastAsia="仿宋_GB2312" w:cs="Times New Roman"/>
          <w:kern w:val="2"/>
          <w:sz w:val="32"/>
          <w:szCs w:val="32"/>
          <w:highlight w:val="none"/>
          <w:lang w:eastAsia="zh-CN"/>
        </w:rPr>
        <w:t>主要原因是：2023年与2024年均未安排公务接待费支出。</w:t>
      </w:r>
    </w:p>
    <w:p>
      <w:pPr>
        <w:keepNext w:val="0"/>
        <w:keepLines w:val="0"/>
        <w:pageBreakBefore w:val="0"/>
        <w:widowControl w:val="0"/>
        <w:kinsoku/>
        <w:wordWrap/>
        <w:overflowPunct/>
        <w:topLinePunct w:val="0"/>
        <w:autoSpaceDE/>
        <w:autoSpaceDN/>
        <w:bidi w:val="0"/>
        <w:adjustRightInd/>
        <w:snapToGrid/>
        <w:spacing w:after="0" w:line="560" w:lineRule="exact"/>
        <w:ind w:firstLine="642" w:firstLineChars="200"/>
        <w:jc w:val="both"/>
        <w:textAlignment w:val="auto"/>
        <w:rPr>
          <w:rFonts w:hint="eastAsia" w:ascii="仿宋_GB2312" w:hAnsi="Times New Roman" w:eastAsia="仿宋_GB2312" w:cs="Times New Roman"/>
          <w:kern w:val="2"/>
          <w:sz w:val="32"/>
          <w:szCs w:val="32"/>
          <w:highlight w:val="none"/>
          <w:lang w:eastAsia="zh-CN"/>
        </w:rPr>
      </w:pPr>
      <w:r>
        <w:rPr>
          <w:rFonts w:hint="eastAsia" w:ascii="仿宋_GB2312" w:hAnsi="Times New Roman" w:eastAsia="仿宋_GB2312" w:cs="Times New Roman"/>
          <w:b/>
          <w:bCs/>
          <w:kern w:val="2"/>
          <w:sz w:val="32"/>
          <w:szCs w:val="32"/>
          <w:highlight w:val="none"/>
          <w:lang w:eastAsia="zh-CN"/>
        </w:rPr>
        <w:t>具体情况如下：</w:t>
      </w:r>
    </w:p>
    <w:p>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Times New Roman" w:eastAsia="仿宋_GB2312" w:cs="Times New Roman"/>
          <w:kern w:val="2"/>
          <w:sz w:val="32"/>
          <w:szCs w:val="32"/>
          <w:highlight w:val="none"/>
          <w:lang w:eastAsia="zh-CN"/>
        </w:rPr>
      </w:pPr>
      <w:r>
        <w:rPr>
          <w:rFonts w:hint="eastAsia" w:ascii="仿宋_GB2312" w:hAnsi="Times New Roman" w:eastAsia="仿宋_GB2312" w:cs="Times New Roman"/>
          <w:kern w:val="2"/>
          <w:sz w:val="32"/>
          <w:szCs w:val="32"/>
          <w:highlight w:val="none"/>
          <w:lang w:eastAsia="zh-CN"/>
        </w:rPr>
        <w:t>因公出国（境）费支出0.00万元，</w:t>
      </w:r>
      <w:r>
        <w:rPr>
          <w:rFonts w:hint="eastAsia" w:ascii="仿宋_GB2312" w:eastAsia="仿宋_GB2312"/>
          <w:sz w:val="32"/>
          <w:szCs w:val="32"/>
          <w:highlight w:val="none"/>
        </w:rPr>
        <w:t>开支内容包括</w:t>
      </w:r>
      <w:r>
        <w:rPr>
          <w:rFonts w:hint="eastAsia" w:ascii="仿宋_GB2312" w:eastAsia="仿宋_GB2312"/>
          <w:sz w:val="32"/>
          <w:szCs w:val="32"/>
          <w:highlight w:val="none"/>
          <w:lang w:val="en" w:eastAsia="zh-CN"/>
        </w:rPr>
        <w:t>：</w:t>
      </w:r>
      <w:r>
        <w:rPr>
          <w:rFonts w:ascii="仿宋_GB2312" w:eastAsia="仿宋_GB2312"/>
          <w:b w:val="0"/>
          <w:sz w:val="32"/>
          <w:szCs w:val="32"/>
          <w:highlight w:val="none"/>
        </w:rPr>
        <w:t>本单位年初预算未安排因公出国（境）费支出</w:t>
      </w:r>
      <w:r>
        <w:rPr>
          <w:rFonts w:hint="eastAsia" w:ascii="仿宋_GB2312" w:eastAsia="仿宋_GB2312"/>
          <w:sz w:val="32"/>
          <w:szCs w:val="32"/>
          <w:highlight w:val="none"/>
        </w:rPr>
        <w:t>。</w:t>
      </w:r>
      <w:r>
        <w:rPr>
          <w:rFonts w:hint="eastAsia" w:ascii="仿宋_GB2312" w:hAnsi="Times New Roman" w:eastAsia="仿宋_GB2312" w:cs="Times New Roman"/>
          <w:kern w:val="2"/>
          <w:sz w:val="32"/>
          <w:szCs w:val="32"/>
          <w:highlight w:val="none"/>
          <w:lang w:eastAsia="zh-CN"/>
        </w:rPr>
        <w:t>单位全年安排的因公出国（境）团组0个，因公出国（境）0人次。</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Times New Roman" w:eastAsia="仿宋_GB2312" w:cs="Times New Roman"/>
          <w:kern w:val="2"/>
          <w:sz w:val="32"/>
          <w:szCs w:val="32"/>
          <w:highlight w:val="none"/>
          <w:lang w:eastAsia="zh-CN"/>
        </w:rPr>
      </w:pPr>
      <w:r>
        <w:rPr>
          <w:rFonts w:hint="eastAsia" w:ascii="仿宋_GB2312" w:hAnsi="Times New Roman" w:eastAsia="仿宋_GB2312" w:cs="Times New Roman"/>
          <w:kern w:val="2"/>
          <w:sz w:val="32"/>
          <w:szCs w:val="32"/>
          <w:highlight w:val="none"/>
          <w:lang w:eastAsia="zh-CN"/>
        </w:rPr>
        <w:t>公务用车购置及运行维护费4.60万元，其中：公务用车购置费0.00万元，公务用车运行维护费4.60万元。公务用车运行维护费开支内容包括</w:t>
      </w:r>
      <w:r>
        <w:rPr>
          <w:rFonts w:hint="eastAsia" w:ascii="仿宋_GB2312" w:hAnsi="Times New Roman" w:eastAsia="仿宋_GB2312" w:cs="Times New Roman"/>
          <w:kern w:val="2"/>
          <w:sz w:val="32"/>
          <w:szCs w:val="32"/>
          <w:highlight w:val="none"/>
          <w:lang w:val="en" w:eastAsia="zh-CN"/>
        </w:rPr>
        <w:t>：</w:t>
      </w:r>
      <w:r>
        <w:rPr>
          <w:rFonts w:hint="eastAsia" w:ascii="仿宋_GB2312" w:hAnsi="Times New Roman" w:eastAsia="仿宋_GB2312" w:cs="Times New Roman"/>
          <w:kern w:val="2"/>
          <w:sz w:val="32"/>
          <w:szCs w:val="32"/>
          <w:highlight w:val="none"/>
          <w:lang w:eastAsia="zh-CN"/>
        </w:rPr>
        <w:t>车辆加油、车辆保险以及车辆维修保养。公务用车购置数0辆，公务用车保有量3辆。国有资产占用情况中固定资产车辆3辆，与公务用车保有量差异原因是：</w:t>
      </w:r>
      <w:r>
        <w:rPr>
          <w:rFonts w:ascii="仿宋_GB2312" w:eastAsia="仿宋_GB2312"/>
          <w:b w:val="0"/>
          <w:sz w:val="32"/>
          <w:szCs w:val="32"/>
        </w:rPr>
        <w:t>国有资产占用情况中固定资产车辆与公务用车保有量一致</w:t>
      </w:r>
      <w:r>
        <w:rPr>
          <w:rFonts w:hint="eastAsia" w:ascii="仿宋_GB2312" w:eastAsia="仿宋_GB2312"/>
          <w:b w:val="0"/>
          <w:sz w:val="32"/>
          <w:szCs w:val="32"/>
          <w:lang w:eastAsia="zh-CN"/>
        </w:rPr>
        <w:t>，无差异</w:t>
      </w:r>
      <w:r>
        <w:rPr>
          <w:rFonts w:ascii="仿宋_GB2312" w:eastAsia="仿宋_GB2312"/>
          <w:b w:val="0"/>
          <w:sz w:val="32"/>
          <w:szCs w:val="32"/>
        </w:rPr>
        <w:t>。</w:t>
      </w:r>
    </w:p>
    <w:p>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Times New Roman" w:eastAsia="仿宋_GB2312" w:cs="Times New Roman"/>
          <w:kern w:val="2"/>
          <w:sz w:val="32"/>
          <w:szCs w:val="32"/>
          <w:highlight w:val="none"/>
          <w:lang w:eastAsia="zh-CN"/>
        </w:rPr>
      </w:pPr>
      <w:r>
        <w:rPr>
          <w:rFonts w:hint="eastAsia" w:ascii="仿宋_GB2312" w:hAnsi="Times New Roman" w:eastAsia="仿宋_GB2312" w:cs="Times New Roman"/>
          <w:kern w:val="2"/>
          <w:sz w:val="32"/>
          <w:szCs w:val="32"/>
          <w:highlight w:val="none"/>
          <w:lang w:eastAsia="zh-CN"/>
        </w:rPr>
        <w:t>公务接待费0.00万元，</w:t>
      </w:r>
      <w:r>
        <w:rPr>
          <w:rFonts w:hint="eastAsia" w:ascii="仿宋_GB2312" w:eastAsia="仿宋_GB2312"/>
          <w:sz w:val="32"/>
          <w:szCs w:val="32"/>
          <w:highlight w:val="none"/>
        </w:rPr>
        <w:t>开支内容包括</w:t>
      </w:r>
      <w:r>
        <w:rPr>
          <w:rFonts w:hint="eastAsia" w:ascii="仿宋_GB2312" w:eastAsia="仿宋_GB2312"/>
          <w:sz w:val="32"/>
          <w:szCs w:val="32"/>
          <w:highlight w:val="none"/>
          <w:lang w:eastAsia="zh-CN"/>
        </w:rPr>
        <w:t>：</w:t>
      </w:r>
      <w:r>
        <w:rPr>
          <w:rFonts w:ascii="仿宋_GB2312" w:eastAsia="仿宋_GB2312"/>
          <w:b w:val="0"/>
          <w:sz w:val="32"/>
          <w:szCs w:val="32"/>
        </w:rPr>
        <w:t>本单位年初预算未安排公务接待费支出。</w:t>
      </w:r>
      <w:r>
        <w:rPr>
          <w:rFonts w:hint="eastAsia" w:ascii="仿宋_GB2312" w:hAnsi="Times New Roman" w:eastAsia="仿宋_GB2312" w:cs="Times New Roman"/>
          <w:kern w:val="2"/>
          <w:sz w:val="32"/>
          <w:szCs w:val="32"/>
          <w:highlight w:val="none"/>
          <w:lang w:eastAsia="zh-CN"/>
        </w:rPr>
        <w:t>单位全年安排的国内公务接待0批次，0人次。</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hint="eastAsia" w:ascii="仿宋_GB2312" w:hAnsi="Times New Roman" w:eastAsia="仿宋_GB2312" w:cs="Times New Roman"/>
          <w:kern w:val="2"/>
          <w:sz w:val="32"/>
          <w:szCs w:val="32"/>
          <w:highlight w:val="none"/>
          <w:lang w:eastAsia="zh-CN"/>
        </w:rPr>
      </w:pPr>
      <w:r>
        <w:rPr>
          <w:rFonts w:hint="eastAsia" w:ascii="仿宋_GB2312" w:hAnsi="Times New Roman" w:eastAsia="仿宋_GB2312" w:cs="Times New Roman"/>
          <w:b/>
          <w:bCs/>
          <w:kern w:val="2"/>
          <w:sz w:val="32"/>
          <w:szCs w:val="32"/>
          <w:highlight w:val="none"/>
          <w:lang w:eastAsia="zh-CN"/>
        </w:rPr>
        <w:t>与全年预算相比，</w:t>
      </w:r>
      <w:r>
        <w:rPr>
          <w:rFonts w:hint="eastAsia" w:ascii="仿宋_GB2312" w:hAnsi="Times New Roman" w:eastAsia="仿宋_GB2312" w:cs="Times New Roman"/>
          <w:kern w:val="2"/>
          <w:sz w:val="32"/>
          <w:szCs w:val="32"/>
          <w:highlight w:val="none"/>
          <w:lang w:eastAsia="zh-CN"/>
        </w:rPr>
        <w:t>财政拨款“三公”经费支出全年预算数4.60万元，决算数4.60万元，预决算差异率0.00%，主要原因是：</w:t>
      </w:r>
      <w:r>
        <w:rPr>
          <w:rFonts w:hint="default" w:ascii="Times New Roman" w:hAnsi="Times New Roman" w:eastAsia="仿宋_GB2312" w:cs="Times New Roman"/>
          <w:sz w:val="32"/>
          <w:szCs w:val="32"/>
          <w:highlight w:val="none"/>
        </w:rPr>
        <w:t>严格按照</w:t>
      </w:r>
      <w:r>
        <w:rPr>
          <w:rFonts w:hint="eastAsia" w:ascii="Times New Roman" w:hAnsi="Times New Roman" w:eastAsia="仿宋_GB2312" w:cs="Times New Roman"/>
          <w:sz w:val="32"/>
          <w:szCs w:val="32"/>
          <w:highlight w:val="none"/>
          <w:lang w:eastAsia="zh-CN"/>
        </w:rPr>
        <w:t>年初预算执行，预决算无差异</w:t>
      </w:r>
      <w:r>
        <w:rPr>
          <w:rFonts w:hint="eastAsia" w:ascii="仿宋_GB2312" w:hAnsi="Times New Roman" w:eastAsia="仿宋_GB2312" w:cs="Times New Roman"/>
          <w:kern w:val="2"/>
          <w:sz w:val="32"/>
          <w:szCs w:val="32"/>
          <w:highlight w:val="none"/>
          <w:lang w:eastAsia="zh-CN"/>
        </w:rPr>
        <w:t>。其中：因公出国（境）费全年预算数0.00万元，决算数0.00万元，预决算差异率0.00%，主要原因是：2024年我单位未安排因公出国（境）费支出；公务用车购置费全年预算数0.00万元，决算数0.00万元，预决算差异率0.00%，主要原因是：2024年我单位未安排公务用车购置费支出；公务用车运行</w:t>
      </w:r>
      <w:r>
        <w:rPr>
          <w:rFonts w:hint="eastAsia" w:ascii="仿宋_GB2312" w:hAnsi="Times New Roman" w:eastAsia="仿宋_GB2312" w:cs="Times New Roman"/>
          <w:kern w:val="2"/>
          <w:sz w:val="32"/>
          <w:szCs w:val="32"/>
          <w:highlight w:val="none"/>
          <w:lang w:val="en-US" w:eastAsia="zh-CN"/>
        </w:rPr>
        <w:t>维护</w:t>
      </w:r>
      <w:r>
        <w:rPr>
          <w:rFonts w:hint="eastAsia" w:ascii="仿宋_GB2312" w:hAnsi="Times New Roman" w:eastAsia="仿宋_GB2312" w:cs="Times New Roman"/>
          <w:kern w:val="2"/>
          <w:sz w:val="32"/>
          <w:szCs w:val="32"/>
          <w:highlight w:val="none"/>
          <w:lang w:eastAsia="zh-CN"/>
        </w:rPr>
        <w:t>费全年预算数4.60万元，决算数4.60万元，预决算差异率0.00%，主要原因是：</w:t>
      </w:r>
      <w:r>
        <w:rPr>
          <w:rFonts w:ascii="仿宋_GB2312" w:eastAsia="仿宋_GB2312"/>
          <w:b w:val="0"/>
          <w:sz w:val="32"/>
          <w:szCs w:val="32"/>
        </w:rPr>
        <w:t>严格执行</w:t>
      </w:r>
      <w:r>
        <w:rPr>
          <w:rFonts w:hint="eastAsia" w:ascii="仿宋_GB2312" w:hAnsi="Times New Roman" w:eastAsia="仿宋_GB2312" w:cs="Times New Roman"/>
          <w:kern w:val="2"/>
          <w:sz w:val="32"/>
          <w:szCs w:val="32"/>
          <w:highlight w:val="none"/>
          <w:lang w:eastAsia="zh-CN"/>
        </w:rPr>
        <w:t>公务用车运行</w:t>
      </w:r>
      <w:r>
        <w:rPr>
          <w:rFonts w:hint="eastAsia" w:ascii="仿宋_GB2312" w:hAnsi="Times New Roman" w:eastAsia="仿宋_GB2312" w:cs="Times New Roman"/>
          <w:kern w:val="2"/>
          <w:sz w:val="32"/>
          <w:szCs w:val="32"/>
          <w:highlight w:val="none"/>
          <w:lang w:val="en-US" w:eastAsia="zh-CN"/>
        </w:rPr>
        <w:t>维护</w:t>
      </w:r>
      <w:r>
        <w:rPr>
          <w:rFonts w:hint="eastAsia" w:ascii="仿宋_GB2312" w:hAnsi="Times New Roman" w:eastAsia="仿宋_GB2312" w:cs="Times New Roman"/>
          <w:kern w:val="2"/>
          <w:sz w:val="32"/>
          <w:szCs w:val="32"/>
          <w:highlight w:val="none"/>
          <w:lang w:eastAsia="zh-CN"/>
        </w:rPr>
        <w:t>费</w:t>
      </w:r>
      <w:r>
        <w:rPr>
          <w:rFonts w:ascii="仿宋_GB2312" w:eastAsia="仿宋_GB2312"/>
          <w:b w:val="0"/>
          <w:sz w:val="32"/>
          <w:szCs w:val="32"/>
        </w:rPr>
        <w:t>预算，本年支出与预算保持</w:t>
      </w:r>
      <w:r>
        <w:rPr>
          <w:rFonts w:hint="eastAsia" w:ascii="仿宋_GB2312" w:eastAsia="仿宋_GB2312"/>
          <w:b w:val="0"/>
          <w:sz w:val="32"/>
          <w:szCs w:val="32"/>
          <w:lang w:val="en-US" w:eastAsia="zh-CN"/>
        </w:rPr>
        <w:t>一致</w:t>
      </w:r>
      <w:r>
        <w:rPr>
          <w:rFonts w:hint="eastAsia" w:ascii="仿宋_GB2312" w:hAnsi="Times New Roman" w:eastAsia="仿宋_GB2312" w:cs="Times New Roman"/>
          <w:kern w:val="2"/>
          <w:sz w:val="32"/>
          <w:szCs w:val="32"/>
          <w:highlight w:val="none"/>
          <w:lang w:eastAsia="zh-CN"/>
        </w:rPr>
        <w:t>；公务接待费全年预算数0.00万元，决算数0.00万元，预决算差异率0.00%，主要原因是：</w:t>
      </w:r>
      <w:r>
        <w:rPr>
          <w:rFonts w:hint="eastAsia" w:ascii="仿宋_GB2312" w:eastAsia="仿宋_GB2312"/>
          <w:b w:val="0"/>
          <w:bCs w:val="0"/>
          <w:sz w:val="32"/>
          <w:szCs w:val="32"/>
          <w:highlight w:val="none"/>
          <w:lang w:eastAsia="zh-CN"/>
        </w:rPr>
        <w:t>2024年未安排公务接待费支出</w:t>
      </w:r>
      <w:r>
        <w:rPr>
          <w:rFonts w:hint="eastAsia" w:ascii="仿宋_GB2312" w:hAnsi="Times New Roman" w:eastAsia="仿宋_GB2312" w:cs="Times New Roman"/>
          <w:kern w:val="2"/>
          <w:sz w:val="32"/>
          <w:szCs w:val="32"/>
          <w:highlight w:val="none"/>
          <w:lang w:eastAsia="zh-CN"/>
        </w:rPr>
        <w:t>。</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十、其他重要事项的情况说明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2"/>
        <w:rPr>
          <w:rFonts w:ascii="黑体" w:eastAsia="黑体"/>
          <w:b w:val="0"/>
          <w:bCs/>
          <w:sz w:val="32"/>
          <w:szCs w:val="32"/>
        </w:rPr>
      </w:pPr>
      <w:r>
        <w:rPr>
          <w:rFonts w:ascii="黑体" w:eastAsia="黑体"/>
          <w:b w:val="0"/>
          <w:bCs/>
          <w:sz w:val="32"/>
          <w:szCs w:val="32"/>
        </w:rPr>
        <w:t>（一）机关运行经费及公用经费支出情况</w:t>
      </w:r>
    </w:p>
    <w:p>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Times New Roman" w:eastAsia="仿宋_GB2312" w:cs="Times New Roman"/>
          <w:kern w:val="2"/>
          <w:sz w:val="32"/>
          <w:szCs w:val="32"/>
          <w:highlight w:val="none"/>
          <w:lang w:eastAsia="zh-CN"/>
        </w:rPr>
      </w:pPr>
      <w:r>
        <w:rPr>
          <w:rFonts w:hint="eastAsia" w:ascii="仿宋_GB2312" w:hAnsi="Times New Roman" w:eastAsia="仿宋_GB2312" w:cs="Times New Roman"/>
          <w:kern w:val="2"/>
          <w:sz w:val="32"/>
          <w:szCs w:val="32"/>
          <w:highlight w:val="none"/>
          <w:lang w:eastAsia="zh-CN"/>
        </w:rPr>
        <w:t>2024年度</w:t>
      </w:r>
      <w:r>
        <w:rPr>
          <w:rFonts w:hint="eastAsia" w:ascii="仿宋_GB2312" w:hAnsi="Times New Roman" w:eastAsia="仿宋_GB2312" w:cs="Times New Roman"/>
          <w:kern w:val="2"/>
          <w:sz w:val="32"/>
          <w:szCs w:val="32"/>
          <w:highlight w:val="none"/>
          <w:lang w:val="en-US" w:eastAsia="zh-CN"/>
        </w:rPr>
        <w:t>自治区文化馆</w:t>
      </w:r>
      <w:r>
        <w:rPr>
          <w:rFonts w:hint="eastAsia" w:ascii="仿宋_GB2312" w:hAnsi="Times New Roman" w:eastAsia="仿宋_GB2312" w:cs="Times New Roman"/>
          <w:kern w:val="2"/>
          <w:sz w:val="32"/>
          <w:szCs w:val="32"/>
          <w:highlight w:val="none"/>
          <w:lang w:eastAsia="zh-CN"/>
        </w:rPr>
        <w:t>公用经费</w:t>
      </w:r>
      <w:bookmarkStart w:id="1" w:name="_GoBack"/>
      <w:bookmarkEnd w:id="1"/>
      <w:r>
        <w:rPr>
          <w:rFonts w:hint="eastAsia" w:ascii="仿宋_GB2312" w:hAnsi="Times New Roman" w:eastAsia="仿宋_GB2312" w:cs="Times New Roman"/>
          <w:kern w:val="2"/>
          <w:sz w:val="32"/>
          <w:szCs w:val="32"/>
          <w:highlight w:val="none"/>
          <w:lang w:eastAsia="zh-CN"/>
        </w:rPr>
        <w:t>支出50.71万元，比上年增加1.98万元，增长4.06%，主要原因是：</w:t>
      </w:r>
      <w:r>
        <w:rPr>
          <w:rFonts w:hint="eastAsia" w:ascii="仿宋_GB2312" w:hAnsi="Times New Roman" w:eastAsia="仿宋_GB2312" w:cs="Times New Roman"/>
          <w:kern w:val="2"/>
          <w:sz w:val="32"/>
          <w:szCs w:val="32"/>
          <w:highlight w:val="none"/>
          <w:lang w:val="en-US" w:eastAsia="zh-CN"/>
        </w:rPr>
        <w:t>工会经费增加</w:t>
      </w:r>
      <w:r>
        <w:rPr>
          <w:rFonts w:hint="eastAsia" w:ascii="仿宋_GB2312" w:hAnsi="Times New Roman" w:eastAsia="仿宋_GB2312" w:cs="Times New Roman"/>
          <w:kern w:val="2"/>
          <w:sz w:val="32"/>
          <w:szCs w:val="32"/>
          <w:highlight w:val="none"/>
          <w:lang w:eastAsia="zh-CN"/>
        </w:rPr>
        <w:t>。</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2"/>
        <w:rPr>
          <w:rFonts w:ascii="黑体" w:eastAsia="黑体"/>
          <w:b w:val="0"/>
          <w:bCs/>
          <w:sz w:val="32"/>
          <w:szCs w:val="32"/>
        </w:rPr>
      </w:pPr>
      <w:r>
        <w:rPr>
          <w:rFonts w:ascii="黑体" w:eastAsia="黑体"/>
          <w:b w:val="0"/>
          <w:bCs/>
          <w:sz w:val="32"/>
          <w:szCs w:val="32"/>
        </w:rPr>
        <w:t>（二）政府采购情况</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Times New Roman" w:eastAsia="仿宋_GB2312" w:cs="Times New Roman"/>
          <w:kern w:val="2"/>
          <w:sz w:val="32"/>
          <w:szCs w:val="32"/>
          <w:highlight w:val="none"/>
          <w:lang w:eastAsia="zh-CN"/>
        </w:rPr>
      </w:pPr>
      <w:r>
        <w:rPr>
          <w:rFonts w:hint="eastAsia" w:ascii="仿宋_GB2312" w:hAnsi="Times New Roman" w:eastAsia="仿宋_GB2312" w:cs="Times New Roman"/>
          <w:kern w:val="2"/>
          <w:sz w:val="32"/>
          <w:szCs w:val="32"/>
          <w:highlight w:val="none"/>
          <w:lang w:eastAsia="zh-CN"/>
        </w:rPr>
        <w:t>2024年度政府采购支出总额1,515.43万元，其中：政府采购货物支出98.93万元、政府采购工程支出0.00万元、政府采购服务支出1,416.50万元。</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Times New Roman" w:eastAsia="仿宋_GB2312" w:cs="Times New Roman"/>
          <w:kern w:val="2"/>
          <w:sz w:val="32"/>
          <w:szCs w:val="32"/>
          <w:highlight w:val="none"/>
          <w:lang w:eastAsia="zh-CN"/>
        </w:rPr>
      </w:pPr>
      <w:r>
        <w:rPr>
          <w:rFonts w:hint="eastAsia" w:ascii="仿宋_GB2312" w:hAnsi="Times New Roman" w:eastAsia="仿宋_GB2312" w:cs="Times New Roman"/>
          <w:kern w:val="2"/>
          <w:sz w:val="32"/>
          <w:szCs w:val="32"/>
          <w:highlight w:val="none"/>
          <w:lang w:eastAsia="zh-CN"/>
        </w:rPr>
        <w:t>授予中小企业合同金额1,515.43万元，占政府采购支出总额的100.00%，其中：授予小微企业合同金额1,515.43万元，占政府采购支出总额的100.00%。</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2"/>
        <w:rPr>
          <w:rFonts w:ascii="黑体" w:eastAsia="黑体"/>
          <w:b w:val="0"/>
          <w:bCs/>
          <w:sz w:val="32"/>
          <w:szCs w:val="32"/>
        </w:rPr>
      </w:pPr>
      <w:r>
        <w:rPr>
          <w:rFonts w:ascii="黑体" w:eastAsia="黑体"/>
          <w:b w:val="0"/>
          <w:bCs/>
          <w:sz w:val="32"/>
          <w:szCs w:val="32"/>
        </w:rPr>
        <w:t>（三）国有资产占用情况说明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hint="eastAsia" w:ascii="仿宋_GB2312" w:hAnsi="Times New Roman" w:eastAsia="仿宋_GB2312" w:cs="Times New Roman"/>
          <w:kern w:val="2"/>
          <w:sz w:val="32"/>
          <w:szCs w:val="32"/>
          <w:highlight w:val="none"/>
          <w:lang w:eastAsia="zh-CN"/>
        </w:rPr>
        <w:t>截至2024年12月31日，房屋49.50平方米，价值2.48万元。车辆3辆，价值114.75万元，其中：副部（省）级及以上领导用车0辆、主要负责人用车0辆、机要通信用车0辆、应急保障用车0辆、执法执勤用车0辆、特种专业技术用车0辆、离退休干部服务用车0辆、其他用车3辆，其他用车主要是：一般</w:t>
      </w:r>
      <w:r>
        <w:rPr>
          <w:rFonts w:hint="eastAsia" w:ascii="仿宋_GB2312" w:hAnsi="Times New Roman" w:eastAsia="仿宋_GB2312" w:cs="Times New Roman"/>
          <w:kern w:val="2"/>
          <w:sz w:val="32"/>
          <w:szCs w:val="32"/>
          <w:highlight w:val="none"/>
          <w:lang w:val="en-US" w:eastAsia="zh-CN"/>
        </w:rPr>
        <w:t>公务用车3辆。</w:t>
      </w:r>
      <w:r>
        <w:rPr>
          <w:rFonts w:hint="eastAsia" w:ascii="仿宋_GB2312" w:hAnsi="Times New Roman" w:eastAsia="仿宋_GB2312" w:cs="Times New Roman"/>
          <w:kern w:val="2"/>
          <w:sz w:val="32"/>
          <w:szCs w:val="32"/>
          <w:highlight w:val="none"/>
          <w:lang w:eastAsia="zh-CN"/>
        </w:rPr>
        <w:t>单价100万元（含）以上设备（不含车辆）0台（套）。</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十一、预算绩效的情况说明</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Times New Roman" w:eastAsia="仿宋_GB2312" w:cs="Times New Roman"/>
          <w:kern w:val="2"/>
          <w:sz w:val="32"/>
          <w:szCs w:val="32"/>
          <w:highlight w:val="yellow"/>
          <w:lang w:eastAsia="zh-CN"/>
        </w:rPr>
      </w:pPr>
      <w:r>
        <w:rPr>
          <w:rFonts w:hint="eastAsia" w:ascii="仿宋_GB2312" w:hAnsi="Times New Roman" w:eastAsia="仿宋_GB2312" w:cs="Times New Roman"/>
          <w:kern w:val="2"/>
          <w:sz w:val="32"/>
          <w:szCs w:val="32"/>
          <w:highlight w:val="none"/>
          <w:lang w:eastAsia="zh-CN"/>
        </w:rPr>
        <w:t>根据预算绩效管理要求，</w:t>
      </w:r>
      <w:r>
        <w:rPr>
          <w:rFonts w:hint="eastAsia" w:ascii="仿宋_GB2312" w:eastAsia="仿宋_GB2312"/>
          <w:sz w:val="32"/>
          <w:szCs w:val="32"/>
          <w:highlight w:val="none"/>
          <w:lang w:val="en-US" w:eastAsia="zh-CN"/>
        </w:rPr>
        <w:t>本</w:t>
      </w:r>
      <w:r>
        <w:rPr>
          <w:rFonts w:hint="eastAsia" w:ascii="仿宋_GB2312" w:eastAsia="仿宋_GB2312"/>
          <w:sz w:val="32"/>
          <w:szCs w:val="32"/>
          <w:highlight w:val="none"/>
          <w:lang w:eastAsia="zh-CN"/>
        </w:rPr>
        <w:t>单位2024年度预算绩效评价项目</w:t>
      </w:r>
      <w:r>
        <w:rPr>
          <w:rFonts w:hint="eastAsia" w:ascii="仿宋_GB2312" w:eastAsia="仿宋_GB2312"/>
          <w:sz w:val="32"/>
          <w:szCs w:val="32"/>
          <w:highlight w:val="none"/>
          <w:lang w:val="en-US" w:eastAsia="zh-CN"/>
        </w:rPr>
        <w:t>1</w:t>
      </w:r>
      <w:r>
        <w:rPr>
          <w:rFonts w:hint="eastAsia" w:ascii="仿宋_GB2312" w:eastAsia="仿宋_GB2312"/>
          <w:sz w:val="32"/>
          <w:szCs w:val="32"/>
          <w:highlight w:val="none"/>
          <w:lang w:eastAsia="zh-CN"/>
        </w:rPr>
        <w:t>个</w:t>
      </w:r>
      <w:r>
        <w:rPr>
          <w:rFonts w:hint="eastAsia" w:ascii="仿宋_GB2312" w:hAnsi="Times New Roman" w:eastAsia="仿宋_GB2312" w:cs="Times New Roman"/>
          <w:kern w:val="2"/>
          <w:sz w:val="32"/>
          <w:szCs w:val="32"/>
          <w:highlight w:val="none"/>
          <w:lang w:eastAsia="zh-CN"/>
        </w:rPr>
        <w:t>，全年预算</w:t>
      </w:r>
      <w:r>
        <w:rPr>
          <w:rFonts w:hint="eastAsia" w:ascii="仿宋_GB2312" w:hAnsi="Times New Roman" w:eastAsia="仿宋_GB2312" w:cs="Times New Roman"/>
          <w:kern w:val="2"/>
          <w:sz w:val="32"/>
          <w:szCs w:val="32"/>
          <w:highlight w:val="none"/>
          <w:lang w:val="en-US" w:eastAsia="zh-CN"/>
        </w:rPr>
        <w:t>数</w:t>
      </w:r>
      <w:r>
        <w:rPr>
          <w:rFonts w:hint="eastAsia" w:ascii="仿宋_GB2312" w:hAnsi="Times New Roman" w:eastAsia="仿宋_GB2312" w:cs="Times New Roman"/>
          <w:kern w:val="2"/>
          <w:sz w:val="32"/>
          <w:szCs w:val="32"/>
          <w:highlight w:val="none"/>
          <w:lang w:eastAsia="zh-CN"/>
        </w:rPr>
        <w:t>200万元，全年执行数200万元。预算绩效管理取得的成效：</w:t>
      </w:r>
      <w:r>
        <w:rPr>
          <w:rFonts w:hint="eastAsia" w:ascii="仿宋_GB2312" w:hAnsi="Times New Roman" w:eastAsia="仿宋_GB2312" w:cs="Times New Roman"/>
          <w:kern w:val="2"/>
          <w:sz w:val="32"/>
          <w:szCs w:val="32"/>
          <w:highlight w:val="none"/>
          <w:lang w:val="en-US" w:eastAsia="zh-CN"/>
        </w:rPr>
        <w:t>一是</w:t>
      </w:r>
      <w:r>
        <w:rPr>
          <w:rFonts w:hint="default" w:ascii="仿宋_GB2312" w:hAnsi="Times New Roman" w:eastAsia="仿宋_GB2312" w:cs="Times New Roman"/>
          <w:kern w:val="2"/>
          <w:sz w:val="32"/>
          <w:szCs w:val="32"/>
          <w:highlight w:val="none"/>
          <w:lang w:eastAsia="zh-CN"/>
        </w:rPr>
        <w:t>从项目目标的达成情况来看，</w:t>
      </w:r>
      <w:r>
        <w:rPr>
          <w:rFonts w:hint="eastAsia" w:ascii="仿宋_GB2312" w:hAnsi="Times New Roman" w:eastAsia="仿宋_GB2312" w:cs="Times New Roman"/>
          <w:kern w:val="2"/>
          <w:sz w:val="32"/>
          <w:szCs w:val="32"/>
          <w:highlight w:val="none"/>
          <w:lang w:val="en-US" w:eastAsia="zh-CN"/>
        </w:rPr>
        <w:t>免费开放运行保障经费</w:t>
      </w:r>
      <w:r>
        <w:rPr>
          <w:rFonts w:hint="default" w:ascii="仿宋_GB2312" w:hAnsi="Times New Roman" w:eastAsia="仿宋_GB2312" w:cs="Times New Roman"/>
          <w:kern w:val="2"/>
          <w:sz w:val="32"/>
          <w:szCs w:val="32"/>
          <w:highlight w:val="none"/>
          <w:lang w:eastAsia="zh-CN"/>
        </w:rPr>
        <w:t>在</w:t>
      </w:r>
      <w:r>
        <w:rPr>
          <w:rFonts w:hint="eastAsia" w:ascii="仿宋_GB2312" w:hAnsi="Times New Roman" w:eastAsia="仿宋_GB2312" w:cs="Times New Roman"/>
          <w:kern w:val="2"/>
          <w:sz w:val="32"/>
          <w:szCs w:val="32"/>
          <w:highlight w:val="none"/>
          <w:lang w:val="en-US" w:eastAsia="zh-CN"/>
        </w:rPr>
        <w:t>举办</w:t>
      </w:r>
      <w:r>
        <w:rPr>
          <w:rFonts w:hint="default" w:ascii="仿宋_GB2312" w:hAnsi="Times New Roman" w:eastAsia="仿宋_GB2312" w:cs="Times New Roman"/>
          <w:kern w:val="2"/>
          <w:sz w:val="32"/>
          <w:szCs w:val="32"/>
          <w:highlight w:val="none"/>
          <w:lang w:eastAsia="zh-CN"/>
        </w:rPr>
        <w:t>群众文化活动、举办辅导培训</w:t>
      </w:r>
      <w:r>
        <w:rPr>
          <w:rFonts w:hint="eastAsia" w:ascii="仿宋_GB2312" w:hAnsi="Times New Roman" w:eastAsia="仿宋_GB2312" w:cs="Times New Roman"/>
          <w:kern w:val="2"/>
          <w:sz w:val="32"/>
          <w:szCs w:val="32"/>
          <w:highlight w:val="none"/>
          <w:lang w:eastAsia="zh-CN"/>
        </w:rPr>
        <w:t>、数字文化馆建设</w:t>
      </w:r>
      <w:r>
        <w:rPr>
          <w:rFonts w:hint="default" w:ascii="仿宋_GB2312" w:hAnsi="Times New Roman" w:eastAsia="仿宋_GB2312" w:cs="Times New Roman"/>
          <w:kern w:val="2"/>
          <w:sz w:val="32"/>
          <w:szCs w:val="32"/>
          <w:highlight w:val="none"/>
          <w:lang w:eastAsia="zh-CN"/>
        </w:rPr>
        <w:t>等方面表现出色，达到了预期的标准与要求</w:t>
      </w:r>
      <w:r>
        <w:rPr>
          <w:rFonts w:hint="eastAsia" w:ascii="仿宋_GB2312" w:hAnsi="Times New Roman" w:eastAsia="仿宋_GB2312" w:cs="Times New Roman"/>
          <w:kern w:val="2"/>
          <w:sz w:val="32"/>
          <w:szCs w:val="32"/>
          <w:highlight w:val="none"/>
          <w:lang w:eastAsia="zh-CN"/>
        </w:rPr>
        <w:t>；</w:t>
      </w:r>
      <w:r>
        <w:rPr>
          <w:rFonts w:hint="eastAsia" w:ascii="仿宋_GB2312" w:hAnsi="Times New Roman" w:eastAsia="仿宋_GB2312" w:cs="Times New Roman"/>
          <w:kern w:val="2"/>
          <w:sz w:val="32"/>
          <w:szCs w:val="32"/>
          <w:highlight w:val="none"/>
          <w:lang w:val="en-US" w:eastAsia="zh-CN"/>
        </w:rPr>
        <w:t>二是</w:t>
      </w:r>
      <w:r>
        <w:rPr>
          <w:rFonts w:hint="default" w:ascii="仿宋_GB2312" w:hAnsi="Times New Roman" w:eastAsia="仿宋_GB2312" w:cs="Times New Roman"/>
          <w:kern w:val="2"/>
          <w:sz w:val="32"/>
          <w:szCs w:val="32"/>
          <w:highlight w:val="none"/>
          <w:lang w:eastAsia="zh-CN"/>
        </w:rPr>
        <w:t>在项目管理方面，</w:t>
      </w:r>
      <w:r>
        <w:rPr>
          <w:rFonts w:hint="eastAsia" w:ascii="仿宋_GB2312" w:hAnsi="Times New Roman" w:eastAsia="仿宋_GB2312" w:cs="Times New Roman"/>
          <w:kern w:val="2"/>
          <w:sz w:val="32"/>
          <w:szCs w:val="32"/>
          <w:highlight w:val="none"/>
          <w:lang w:val="en-US" w:eastAsia="zh-CN"/>
        </w:rPr>
        <w:t>新疆维吾尔自治区文化馆</w:t>
      </w:r>
      <w:r>
        <w:rPr>
          <w:rFonts w:hint="default" w:ascii="仿宋_GB2312" w:hAnsi="Times New Roman" w:eastAsia="仿宋_GB2312" w:cs="Times New Roman"/>
          <w:kern w:val="2"/>
          <w:sz w:val="32"/>
          <w:szCs w:val="32"/>
          <w:highlight w:val="none"/>
          <w:lang w:eastAsia="zh-CN"/>
        </w:rPr>
        <w:t>通过有效的规划、组织与协调，项目得以顺利实施，并在预算与时间上保持了良好的控制</w:t>
      </w:r>
      <w:r>
        <w:rPr>
          <w:rFonts w:hint="eastAsia" w:ascii="仿宋_GB2312" w:hAnsi="Times New Roman" w:eastAsia="仿宋_GB2312" w:cs="Times New Roman"/>
          <w:kern w:val="2"/>
          <w:sz w:val="32"/>
          <w:szCs w:val="32"/>
          <w:highlight w:val="none"/>
          <w:lang w:eastAsia="zh-CN"/>
        </w:rPr>
        <w:t>；</w:t>
      </w:r>
      <w:r>
        <w:rPr>
          <w:rFonts w:hint="eastAsia" w:ascii="仿宋_GB2312" w:hAnsi="Times New Roman" w:eastAsia="仿宋_GB2312" w:cs="Times New Roman"/>
          <w:kern w:val="2"/>
          <w:sz w:val="32"/>
          <w:szCs w:val="32"/>
          <w:highlight w:val="none"/>
          <w:lang w:val="en-US" w:eastAsia="zh-CN"/>
        </w:rPr>
        <w:t>三是</w:t>
      </w:r>
      <w:r>
        <w:rPr>
          <w:rFonts w:hint="default" w:ascii="仿宋_GB2312" w:hAnsi="Times New Roman" w:eastAsia="仿宋_GB2312" w:cs="Times New Roman"/>
          <w:kern w:val="2"/>
          <w:sz w:val="32"/>
          <w:szCs w:val="32"/>
          <w:highlight w:val="none"/>
          <w:lang w:eastAsia="zh-CN"/>
        </w:rPr>
        <w:t>从项目效益的角度来看，本项目不仅实现了预期的社会效益等方面产生了积极的影响。具体而言，</w:t>
      </w:r>
      <w:r>
        <w:rPr>
          <w:rFonts w:hint="eastAsia" w:ascii="仿宋_GB2312" w:hAnsi="Times New Roman" w:eastAsia="仿宋_GB2312" w:cs="Times New Roman"/>
          <w:kern w:val="2"/>
          <w:sz w:val="32"/>
          <w:szCs w:val="32"/>
          <w:highlight w:val="none"/>
          <w:lang w:val="en-US" w:eastAsia="zh-CN"/>
        </w:rPr>
        <w:t>全民艺术普及</w:t>
      </w:r>
      <w:r>
        <w:rPr>
          <w:rFonts w:hint="default" w:ascii="仿宋_GB2312" w:hAnsi="Times New Roman" w:eastAsia="仿宋_GB2312" w:cs="Times New Roman"/>
          <w:kern w:val="2"/>
          <w:sz w:val="32"/>
          <w:szCs w:val="32"/>
          <w:highlight w:val="none"/>
          <w:lang w:eastAsia="zh-CN"/>
        </w:rPr>
        <w:t>、</w:t>
      </w:r>
      <w:r>
        <w:rPr>
          <w:rFonts w:hint="eastAsia" w:ascii="仿宋_GB2312" w:hAnsi="Times New Roman" w:eastAsia="仿宋_GB2312" w:cs="Times New Roman"/>
          <w:kern w:val="2"/>
          <w:sz w:val="32"/>
          <w:szCs w:val="32"/>
          <w:highlight w:val="none"/>
          <w:lang w:val="en-US" w:eastAsia="zh-CN"/>
        </w:rPr>
        <w:t>服务群众</w:t>
      </w:r>
      <w:r>
        <w:rPr>
          <w:rFonts w:hint="default" w:ascii="仿宋_GB2312" w:hAnsi="Times New Roman" w:eastAsia="仿宋_GB2312" w:cs="Times New Roman"/>
          <w:kern w:val="2"/>
          <w:sz w:val="32"/>
          <w:szCs w:val="32"/>
          <w:highlight w:val="none"/>
          <w:lang w:eastAsia="zh-CN"/>
        </w:rPr>
        <w:t>等方面的提升，为项目的利益相关者带来了实实在在的利益</w:t>
      </w:r>
      <w:r>
        <w:rPr>
          <w:rFonts w:hint="eastAsia" w:ascii="仿宋_GB2312" w:hAnsi="Times New Roman" w:eastAsia="仿宋_GB2312" w:cs="Times New Roman"/>
          <w:kern w:val="2"/>
          <w:sz w:val="32"/>
          <w:szCs w:val="32"/>
          <w:highlight w:val="none"/>
          <w:lang w:eastAsia="zh-CN"/>
        </w:rPr>
        <w:t>。发现的问题及原因：</w:t>
      </w:r>
      <w:r>
        <w:rPr>
          <w:rFonts w:hint="eastAsia" w:ascii="仿宋_GB2312" w:hAnsi="Times New Roman" w:eastAsia="仿宋_GB2312" w:cs="Times New Roman"/>
          <w:kern w:val="2"/>
          <w:sz w:val="32"/>
          <w:szCs w:val="32"/>
          <w:highlight w:val="none"/>
          <w:lang w:val="en-US" w:eastAsia="zh-CN"/>
        </w:rPr>
        <w:t>一是</w:t>
      </w:r>
      <w:r>
        <w:rPr>
          <w:rFonts w:hint="default" w:ascii="仿宋_GB2312" w:hAnsi="Times New Roman" w:eastAsia="仿宋_GB2312" w:cs="Times New Roman"/>
          <w:kern w:val="2"/>
          <w:sz w:val="32"/>
          <w:szCs w:val="32"/>
          <w:highlight w:val="none"/>
          <w:lang w:val="en-US" w:eastAsia="zh-CN"/>
        </w:rPr>
        <w:t>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r>
        <w:rPr>
          <w:rFonts w:hint="eastAsia" w:ascii="仿宋_GB2312" w:hAnsi="Times New Roman" w:eastAsia="仿宋_GB2312" w:cs="Times New Roman"/>
          <w:kern w:val="2"/>
          <w:sz w:val="32"/>
          <w:szCs w:val="32"/>
          <w:highlight w:val="none"/>
          <w:lang w:val="en-US" w:eastAsia="zh-CN"/>
        </w:rPr>
        <w:t>；二是项目实施过程中，存在指标控制不够精准，指标完成出现偏差。</w:t>
      </w:r>
      <w:r>
        <w:rPr>
          <w:rFonts w:hint="eastAsia" w:ascii="仿宋_GB2312" w:hAnsi="Times New Roman" w:eastAsia="仿宋_GB2312" w:cs="Times New Roman"/>
          <w:kern w:val="2"/>
          <w:sz w:val="32"/>
          <w:szCs w:val="32"/>
          <w:highlight w:val="none"/>
          <w:lang w:eastAsia="zh-CN"/>
        </w:rPr>
        <w:t>下一步改进措施：</w:t>
      </w:r>
      <w:r>
        <w:rPr>
          <w:rFonts w:hint="eastAsia" w:ascii="仿宋_GB2312" w:hAnsi="Times New Roman" w:eastAsia="仿宋_GB2312" w:cs="Times New Roman"/>
          <w:kern w:val="2"/>
          <w:sz w:val="32"/>
          <w:szCs w:val="32"/>
          <w:highlight w:val="none"/>
          <w:lang w:val="en-US" w:eastAsia="zh-CN"/>
        </w:rPr>
        <w:t>一是</w:t>
      </w:r>
      <w:r>
        <w:rPr>
          <w:rFonts w:hint="default" w:ascii="仿宋_GB2312" w:hAnsi="Times New Roman" w:eastAsia="仿宋_GB2312" w:cs="Times New Roman"/>
          <w:kern w:val="2"/>
          <w:sz w:val="32"/>
          <w:szCs w:val="32"/>
          <w:highlight w:val="none"/>
          <w:lang w:val="en-US" w:eastAsia="zh-CN"/>
        </w:rPr>
        <w:t>多进行有关绩效管理工作方面的培训。积极组织第三方开展绩效管理工作培训，进一步夯实业务基础，提高我单位绩效人员水平</w:t>
      </w:r>
      <w:r>
        <w:rPr>
          <w:rFonts w:hint="eastAsia" w:ascii="仿宋_GB2312" w:hAnsi="Times New Roman" w:eastAsia="仿宋_GB2312" w:cs="Times New Roman"/>
          <w:kern w:val="2"/>
          <w:sz w:val="32"/>
          <w:szCs w:val="32"/>
          <w:highlight w:val="none"/>
          <w:lang w:val="en-US" w:eastAsia="zh-CN"/>
        </w:rPr>
        <w:t>；二是</w:t>
      </w:r>
      <w:r>
        <w:rPr>
          <w:rFonts w:hint="default" w:ascii="仿宋_GB2312" w:hAnsi="Times New Roman" w:eastAsia="仿宋_GB2312" w:cs="Times New Roman"/>
          <w:kern w:val="2"/>
          <w:sz w:val="32"/>
          <w:szCs w:val="32"/>
          <w:highlight w:val="none"/>
          <w:lang w:val="en-US" w:eastAsia="zh-CN"/>
        </w:rPr>
        <w:t>专门设定对绩效工作人员定职、定岗、定责等相关制度措施，进一步提升我单位绩效管理工作业务水平，扎实做好绩效管理工作</w:t>
      </w:r>
      <w:r>
        <w:rPr>
          <w:rFonts w:hint="eastAsia" w:ascii="仿宋_GB2312" w:hAnsi="Times New Roman" w:eastAsia="仿宋_GB2312" w:cs="Times New Roman"/>
          <w:kern w:val="2"/>
          <w:sz w:val="32"/>
          <w:szCs w:val="32"/>
          <w:highlight w:val="none"/>
          <w:lang w:val="en-US" w:eastAsia="zh-CN"/>
        </w:rPr>
        <w:t>；三是</w:t>
      </w:r>
      <w:r>
        <w:rPr>
          <w:rFonts w:hint="default" w:ascii="仿宋_GB2312" w:hAnsi="Times New Roman" w:eastAsia="仿宋_GB2312" w:cs="Times New Roman"/>
          <w:kern w:val="2"/>
          <w:sz w:val="32"/>
          <w:szCs w:val="32"/>
          <w:highlight w:val="none"/>
          <w:lang w:val="en-US" w:eastAsia="zh-CN"/>
        </w:rPr>
        <w:t>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r>
        <w:rPr>
          <w:rFonts w:ascii="仿宋_GB2312" w:eastAsia="仿宋_GB2312"/>
          <w:b w:val="0"/>
          <w:sz w:val="32"/>
          <w:szCs w:val="32"/>
          <w:highlight w:val="none"/>
        </w:rPr>
        <w:t>具体附项目支出绩效自评表</w:t>
      </w:r>
      <w:r>
        <w:rPr>
          <w:rFonts w:hint="default" w:ascii="仿宋_GB2312" w:hAnsi="Times New Roman" w:eastAsia="仿宋_GB2312" w:cs="Times New Roman"/>
          <w:kern w:val="2"/>
          <w:sz w:val="32"/>
          <w:szCs w:val="32"/>
          <w:highlight w:val="none"/>
          <w:lang w:val="en-US" w:eastAsia="zh-CN"/>
        </w:rPr>
        <w:t>（见附</w:t>
      </w:r>
      <w:r>
        <w:rPr>
          <w:rFonts w:hint="eastAsia" w:ascii="仿宋_GB2312" w:hAnsi="Times New Roman" w:eastAsia="仿宋_GB2312" w:cs="Times New Roman"/>
          <w:kern w:val="2"/>
          <w:sz w:val="32"/>
          <w:szCs w:val="32"/>
          <w:highlight w:val="none"/>
          <w:lang w:val="en-US" w:eastAsia="zh-CN"/>
        </w:rPr>
        <w:t>件2</w:t>
      </w:r>
      <w:r>
        <w:rPr>
          <w:rFonts w:hint="default" w:ascii="仿宋_GB2312" w:hAnsi="Times New Roman" w:eastAsia="仿宋_GB2312" w:cs="Times New Roman"/>
          <w:kern w:val="2"/>
          <w:sz w:val="32"/>
          <w:szCs w:val="32"/>
          <w:highlight w:val="none"/>
          <w:lang w:val="en-US" w:eastAsia="zh-CN"/>
        </w:rPr>
        <w:t>）。</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黑体" w:eastAsia="黑体"/>
          <w:sz w:val="32"/>
          <w:szCs w:val="32"/>
        </w:rPr>
      </w:pPr>
      <w:r>
        <w:rPr>
          <w:rFonts w:ascii="黑体" w:eastAsia="黑体"/>
          <w:b w:val="0"/>
          <w:sz w:val="32"/>
          <w:szCs w:val="32"/>
        </w:rPr>
        <w:t>十二、其他需说明的事项</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sz w:val="32"/>
          <w:szCs w:val="32"/>
        </w:rPr>
      </w:pPr>
      <w:r>
        <w:rPr>
          <w:rFonts w:ascii="仿宋_GB2312" w:eastAsia="仿宋_GB2312"/>
          <w:b w:val="0"/>
          <w:sz w:val="32"/>
          <w:szCs w:val="32"/>
        </w:rPr>
        <w:t>本单位无其他需说明事项。</w:t>
      </w:r>
    </w:p>
    <w:p>
      <w:pPr>
        <w:keepNext w:val="0"/>
        <w:keepLines w:val="0"/>
        <w:pageBreakBefore w:val="0"/>
        <w:widowControl/>
        <w:kinsoku/>
        <w:wordWrap/>
        <w:overflowPunct/>
        <w:topLinePunct w:val="0"/>
        <w:autoSpaceDE/>
        <w:autoSpaceDN/>
        <w:bidi w:val="0"/>
        <w:adjustRightInd/>
        <w:snapToGrid/>
        <w:spacing w:line="560" w:lineRule="exact"/>
        <w:textAlignment w:val="auto"/>
      </w:pPr>
      <w:r>
        <w:rPr>
          <w:b w:val="0"/>
          <w:sz w:val="0"/>
          <w:szCs w:val="0"/>
        </w:rPr>
        <w:br w:type="page"/>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center"/>
        <w:textAlignment w:val="auto"/>
        <w:outlineLvl w:val="0"/>
        <w:rPr>
          <w:rFonts w:ascii="黑体" w:eastAsia="黑体"/>
          <w:sz w:val="32"/>
          <w:szCs w:val="32"/>
        </w:rPr>
      </w:pPr>
      <w:r>
        <w:rPr>
          <w:rFonts w:ascii="黑体" w:eastAsia="黑体"/>
          <w:b w:val="0"/>
          <w:sz w:val="32"/>
          <w:szCs w:val="32"/>
        </w:rPr>
        <w:t>第三部分</w:t>
      </w:r>
      <w:r>
        <w:rPr>
          <w:rFonts w:hint="eastAsia" w:ascii="黑体" w:eastAsia="黑体"/>
          <w:b w:val="0"/>
          <w:sz w:val="32"/>
          <w:szCs w:val="32"/>
          <w:lang w:val="en-US" w:eastAsia="zh-CN"/>
        </w:rPr>
        <w:t xml:space="preserve"> </w:t>
      </w:r>
      <w:r>
        <w:rPr>
          <w:rFonts w:ascii="黑体" w:eastAsia="黑体"/>
          <w:b w:val="0"/>
          <w:sz w:val="32"/>
          <w:szCs w:val="32"/>
        </w:rPr>
        <w:t>专业名词解释</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sz w:val="32"/>
          <w:szCs w:val="32"/>
        </w:rPr>
      </w:pPr>
      <w:r>
        <w:rPr>
          <w:rFonts w:ascii="仿宋_GB2312" w:eastAsia="仿宋_GB2312"/>
          <w:b/>
          <w:sz w:val="32"/>
          <w:szCs w:val="32"/>
        </w:rPr>
        <w:t>一、财政拨款收入：</w:t>
      </w:r>
      <w:r>
        <w:rPr>
          <w:rFonts w:ascii="仿宋_GB2312" w:eastAsia="仿宋_GB2312"/>
          <w:b w:val="0"/>
          <w:sz w:val="32"/>
          <w:szCs w:val="32"/>
        </w:rPr>
        <w:t>指同级财政当年拨付的资金。</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sz w:val="32"/>
          <w:szCs w:val="32"/>
        </w:rPr>
      </w:pPr>
      <w:r>
        <w:rPr>
          <w:rFonts w:ascii="仿宋_GB2312" w:eastAsia="仿宋_GB2312"/>
          <w:b/>
          <w:sz w:val="32"/>
          <w:szCs w:val="32"/>
        </w:rPr>
        <w:t>二、上级补助收入：</w:t>
      </w:r>
      <w:r>
        <w:rPr>
          <w:rFonts w:ascii="仿宋_GB2312" w:eastAsia="仿宋_GB2312"/>
          <w:b w:val="0"/>
          <w:sz w:val="32"/>
          <w:szCs w:val="32"/>
        </w:rPr>
        <w:t>指事业单位从主管部门和上级单位取得的非财政补助收入。</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sz w:val="32"/>
          <w:szCs w:val="32"/>
        </w:rPr>
      </w:pPr>
      <w:r>
        <w:rPr>
          <w:rFonts w:ascii="仿宋_GB2312" w:eastAsia="仿宋_GB2312"/>
          <w:b/>
          <w:sz w:val="32"/>
          <w:szCs w:val="32"/>
        </w:rPr>
        <w:t>三、事业收入：</w:t>
      </w:r>
      <w:r>
        <w:rPr>
          <w:rFonts w:ascii="仿宋_GB2312" w:eastAsia="仿宋_GB2312"/>
          <w:b w:val="0"/>
          <w:sz w:val="32"/>
          <w:szCs w:val="32"/>
        </w:rPr>
        <w:t>指事业单位开展专业业务活动及其辅助活动所取得的收入。</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sz w:val="32"/>
          <w:szCs w:val="32"/>
        </w:rPr>
      </w:pPr>
      <w:r>
        <w:rPr>
          <w:rFonts w:ascii="仿宋_GB2312" w:eastAsia="仿宋_GB2312"/>
          <w:b/>
          <w:sz w:val="32"/>
          <w:szCs w:val="32"/>
        </w:rPr>
        <w:t>四、经营收入：</w:t>
      </w:r>
      <w:r>
        <w:rPr>
          <w:rFonts w:ascii="仿宋_GB2312" w:eastAsia="仿宋_GB2312"/>
          <w:b w:val="0"/>
          <w:sz w:val="32"/>
          <w:szCs w:val="32"/>
        </w:rPr>
        <w:t>指事业单位在专业业务活动及其辅助活动之外开展非独立核算经营活动取得的收入。</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sz w:val="32"/>
          <w:szCs w:val="32"/>
        </w:rPr>
      </w:pPr>
      <w:r>
        <w:rPr>
          <w:rFonts w:ascii="仿宋_GB2312" w:eastAsia="仿宋_GB2312"/>
          <w:b/>
          <w:sz w:val="32"/>
          <w:szCs w:val="32"/>
        </w:rPr>
        <w:t>五、附属单位上缴收入：</w:t>
      </w:r>
      <w:r>
        <w:rPr>
          <w:rFonts w:ascii="仿宋_GB2312" w:eastAsia="仿宋_GB2312"/>
          <w:b w:val="0"/>
          <w:sz w:val="32"/>
          <w:szCs w:val="32"/>
        </w:rPr>
        <w:t>指事业单位附属的独立核算单位按有关规定上缴的收入。</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sz w:val="32"/>
          <w:szCs w:val="32"/>
        </w:rPr>
      </w:pPr>
      <w:r>
        <w:rPr>
          <w:rFonts w:ascii="仿宋_GB2312" w:eastAsia="仿宋_GB2312"/>
          <w:b/>
          <w:sz w:val="32"/>
          <w:szCs w:val="32"/>
        </w:rPr>
        <w:t>六、其他收入：</w:t>
      </w:r>
      <w:r>
        <w:rPr>
          <w:rFonts w:ascii="仿宋_GB2312" w:eastAsia="仿宋_GB2312"/>
          <w:b w:val="0"/>
          <w:sz w:val="32"/>
          <w:szCs w:val="32"/>
        </w:rPr>
        <w:t>指除上述</w:t>
      </w:r>
      <w:r>
        <w:rPr>
          <w:rFonts w:hint="eastAsia" w:ascii="仿宋_GB2312" w:eastAsia="仿宋_GB2312"/>
          <w:b w:val="0"/>
          <w:sz w:val="32"/>
          <w:szCs w:val="32"/>
          <w:lang w:eastAsia="zh-CN"/>
        </w:rPr>
        <w:t>“</w:t>
      </w:r>
      <w:r>
        <w:rPr>
          <w:rFonts w:ascii="仿宋_GB2312" w:eastAsia="仿宋_GB2312"/>
          <w:b w:val="0"/>
          <w:sz w:val="32"/>
          <w:szCs w:val="32"/>
        </w:rPr>
        <w:t>财政拨款收入</w:t>
      </w:r>
      <w:r>
        <w:rPr>
          <w:rFonts w:hint="eastAsia" w:ascii="仿宋_GB2312" w:eastAsia="仿宋_GB2312"/>
          <w:b w:val="0"/>
          <w:sz w:val="32"/>
          <w:szCs w:val="32"/>
          <w:lang w:eastAsia="zh-CN"/>
        </w:rPr>
        <w:t>”</w:t>
      </w:r>
      <w:r>
        <w:rPr>
          <w:rFonts w:ascii="仿宋_GB2312" w:eastAsia="仿宋_GB2312"/>
          <w:b w:val="0"/>
          <w:sz w:val="32"/>
          <w:szCs w:val="32"/>
        </w:rPr>
        <w:t>、</w:t>
      </w:r>
      <w:r>
        <w:rPr>
          <w:rFonts w:hint="eastAsia" w:ascii="仿宋_GB2312" w:eastAsia="仿宋_GB2312"/>
          <w:b w:val="0"/>
          <w:sz w:val="32"/>
          <w:szCs w:val="32"/>
          <w:lang w:eastAsia="zh-CN"/>
        </w:rPr>
        <w:t>“</w:t>
      </w:r>
      <w:r>
        <w:rPr>
          <w:rFonts w:ascii="仿宋_GB2312" w:eastAsia="仿宋_GB2312"/>
          <w:b w:val="0"/>
          <w:sz w:val="32"/>
          <w:szCs w:val="32"/>
        </w:rPr>
        <w:t>事业收入</w:t>
      </w:r>
      <w:r>
        <w:rPr>
          <w:rFonts w:hint="eastAsia" w:ascii="仿宋_GB2312" w:eastAsia="仿宋_GB2312"/>
          <w:b w:val="0"/>
          <w:sz w:val="32"/>
          <w:szCs w:val="32"/>
          <w:lang w:eastAsia="zh-CN"/>
        </w:rPr>
        <w:t>”</w:t>
      </w:r>
      <w:r>
        <w:rPr>
          <w:rFonts w:ascii="仿宋_GB2312" w:eastAsia="仿宋_GB2312"/>
          <w:b w:val="0"/>
          <w:sz w:val="32"/>
          <w:szCs w:val="32"/>
        </w:rPr>
        <w:t>、</w:t>
      </w:r>
      <w:r>
        <w:rPr>
          <w:rFonts w:hint="eastAsia" w:ascii="仿宋_GB2312" w:eastAsia="仿宋_GB2312"/>
          <w:b w:val="0"/>
          <w:sz w:val="32"/>
          <w:szCs w:val="32"/>
          <w:lang w:eastAsia="zh-CN"/>
        </w:rPr>
        <w:t>“</w:t>
      </w:r>
      <w:r>
        <w:rPr>
          <w:rFonts w:ascii="仿宋_GB2312" w:eastAsia="仿宋_GB2312"/>
          <w:b w:val="0"/>
          <w:sz w:val="32"/>
          <w:szCs w:val="32"/>
        </w:rPr>
        <w:t>经营收入</w:t>
      </w:r>
      <w:r>
        <w:rPr>
          <w:rFonts w:hint="eastAsia" w:ascii="仿宋_GB2312" w:eastAsia="仿宋_GB2312"/>
          <w:b w:val="0"/>
          <w:sz w:val="32"/>
          <w:szCs w:val="32"/>
          <w:lang w:eastAsia="zh-CN"/>
        </w:rPr>
        <w:t>”</w:t>
      </w:r>
      <w:r>
        <w:rPr>
          <w:rFonts w:ascii="仿宋_GB2312" w:eastAsia="仿宋_GB2312"/>
          <w:b w:val="0"/>
          <w:sz w:val="32"/>
          <w:szCs w:val="32"/>
        </w:rPr>
        <w:t>、</w:t>
      </w:r>
      <w:r>
        <w:rPr>
          <w:rFonts w:hint="eastAsia" w:ascii="仿宋_GB2312" w:eastAsia="仿宋_GB2312"/>
          <w:b w:val="0"/>
          <w:sz w:val="32"/>
          <w:szCs w:val="32"/>
          <w:lang w:eastAsia="zh-CN"/>
        </w:rPr>
        <w:t>“</w:t>
      </w:r>
      <w:r>
        <w:rPr>
          <w:rFonts w:ascii="仿宋_GB2312" w:eastAsia="仿宋_GB2312"/>
          <w:b w:val="0"/>
          <w:sz w:val="32"/>
          <w:szCs w:val="32"/>
        </w:rPr>
        <w:t>附属单位上缴收入</w:t>
      </w:r>
      <w:r>
        <w:rPr>
          <w:rFonts w:hint="eastAsia" w:ascii="仿宋_GB2312" w:eastAsia="仿宋_GB2312"/>
          <w:b w:val="0"/>
          <w:sz w:val="32"/>
          <w:szCs w:val="32"/>
          <w:lang w:eastAsia="zh-CN"/>
        </w:rPr>
        <w:t>”</w:t>
      </w:r>
      <w:r>
        <w:rPr>
          <w:rFonts w:ascii="仿宋_GB2312" w:eastAsia="仿宋_GB2312"/>
          <w:b w:val="0"/>
          <w:sz w:val="32"/>
          <w:szCs w:val="32"/>
        </w:rPr>
        <w:t>等之外取得的收入。</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sz w:val="32"/>
          <w:szCs w:val="32"/>
        </w:rPr>
      </w:pPr>
      <w:r>
        <w:rPr>
          <w:rFonts w:ascii="仿宋_GB2312" w:eastAsia="仿宋_GB2312"/>
          <w:b/>
          <w:sz w:val="32"/>
          <w:szCs w:val="32"/>
        </w:rPr>
        <w:t>七、年初结转和结余：</w:t>
      </w:r>
      <w:r>
        <w:rPr>
          <w:rFonts w:ascii="仿宋_GB2312" w:eastAsia="仿宋_GB2312"/>
          <w:b w:val="0"/>
          <w:sz w:val="32"/>
          <w:szCs w:val="32"/>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sz w:val="32"/>
          <w:szCs w:val="32"/>
        </w:rPr>
      </w:pPr>
      <w:r>
        <w:rPr>
          <w:rFonts w:ascii="仿宋_GB2312" w:eastAsia="仿宋_GB2312"/>
          <w:b/>
          <w:sz w:val="32"/>
          <w:szCs w:val="32"/>
        </w:rPr>
        <w:t>八、年末结转和结余：</w:t>
      </w:r>
      <w:r>
        <w:rPr>
          <w:rFonts w:ascii="仿宋_GB2312" w:eastAsia="仿宋_GB2312"/>
          <w:b w:val="0"/>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sz w:val="32"/>
          <w:szCs w:val="32"/>
        </w:rPr>
      </w:pPr>
      <w:r>
        <w:rPr>
          <w:rFonts w:ascii="仿宋_GB2312" w:eastAsia="仿宋_GB2312"/>
          <w:b/>
          <w:sz w:val="32"/>
          <w:szCs w:val="32"/>
        </w:rPr>
        <w:t>九、基本支出：</w:t>
      </w:r>
      <w:r>
        <w:rPr>
          <w:rFonts w:ascii="仿宋_GB2312" w:eastAsia="仿宋_GB2312"/>
          <w:b w:val="0"/>
          <w:sz w:val="32"/>
          <w:szCs w:val="32"/>
        </w:rPr>
        <w:t>指为保障机构正常运转、完成日常工作任务而发生的人员支出和公用支出。</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sz w:val="32"/>
          <w:szCs w:val="32"/>
        </w:rPr>
      </w:pPr>
      <w:r>
        <w:rPr>
          <w:rFonts w:ascii="仿宋_GB2312" w:eastAsia="仿宋_GB2312"/>
          <w:b/>
          <w:sz w:val="32"/>
          <w:szCs w:val="32"/>
        </w:rPr>
        <w:t>十、项目支出：</w:t>
      </w:r>
      <w:r>
        <w:rPr>
          <w:rFonts w:ascii="仿宋_GB2312" w:eastAsia="仿宋_GB2312"/>
          <w:b w:val="0"/>
          <w:sz w:val="32"/>
          <w:szCs w:val="32"/>
        </w:rPr>
        <w:t>指在基本支出之外为完成特定行政任务和事业发展目标所发生的支出。</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sz w:val="32"/>
          <w:szCs w:val="32"/>
        </w:rPr>
      </w:pPr>
      <w:r>
        <w:rPr>
          <w:rFonts w:ascii="仿宋_GB2312" w:eastAsia="仿宋_GB2312"/>
          <w:b/>
          <w:sz w:val="32"/>
          <w:szCs w:val="32"/>
        </w:rPr>
        <w:t>十一、经营支出：</w:t>
      </w:r>
      <w:r>
        <w:rPr>
          <w:rFonts w:ascii="仿宋_GB2312" w:eastAsia="仿宋_GB2312"/>
          <w:b w:val="0"/>
          <w:sz w:val="32"/>
          <w:szCs w:val="32"/>
        </w:rPr>
        <w:t>指事业单位在专业业务活动及其辅助活动之外开展非独立核算经营活动发生的支出。</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b w:val="0"/>
          <w:sz w:val="32"/>
          <w:szCs w:val="32"/>
        </w:rPr>
        <w:t>指事业单位发生的用非财政预算资金对附属单位的补助支出。</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sz w:val="32"/>
          <w:szCs w:val="32"/>
        </w:rPr>
      </w:pPr>
      <w:r>
        <w:rPr>
          <w:rFonts w:ascii="仿宋_GB2312" w:eastAsia="仿宋_GB2312"/>
          <w:b/>
          <w:sz w:val="32"/>
          <w:szCs w:val="32"/>
        </w:rPr>
        <w:t>十三、</w:t>
      </w:r>
      <w:r>
        <w:rPr>
          <w:rFonts w:hint="eastAsia" w:ascii="仿宋_GB2312" w:eastAsia="仿宋_GB2312"/>
          <w:b/>
          <w:sz w:val="32"/>
          <w:szCs w:val="32"/>
          <w:lang w:eastAsia="zh-CN"/>
        </w:rPr>
        <w:t>：“</w:t>
      </w:r>
      <w:r>
        <w:rPr>
          <w:rFonts w:ascii="仿宋_GB2312" w:eastAsia="仿宋_GB2312"/>
          <w:b/>
          <w:sz w:val="32"/>
          <w:szCs w:val="32"/>
        </w:rPr>
        <w:t>三公</w:t>
      </w:r>
      <w:r>
        <w:rPr>
          <w:rFonts w:hint="eastAsia" w:ascii="仿宋_GB2312" w:eastAsia="仿宋_GB2312"/>
          <w:b/>
          <w:sz w:val="32"/>
          <w:szCs w:val="32"/>
          <w:lang w:eastAsia="zh-CN"/>
        </w:rPr>
        <w:t>”</w:t>
      </w:r>
      <w:r>
        <w:rPr>
          <w:rFonts w:ascii="仿宋_GB2312" w:eastAsia="仿宋_GB2312"/>
          <w:b/>
          <w:sz w:val="32"/>
          <w:szCs w:val="32"/>
        </w:rPr>
        <w:t>经费：</w:t>
      </w:r>
      <w:r>
        <w:rPr>
          <w:rFonts w:ascii="仿宋_GB2312" w:eastAsia="仿宋_GB2312"/>
          <w:b w:val="0"/>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2" w:firstLineChars="200"/>
        <w:jc w:val="both"/>
        <w:textAlignment w:val="auto"/>
        <w:rPr>
          <w:rFonts w:ascii="仿宋_GB2312" w:eastAsia="仿宋_GB2312"/>
          <w:sz w:val="32"/>
          <w:szCs w:val="32"/>
        </w:rPr>
      </w:pPr>
      <w:r>
        <w:rPr>
          <w:rFonts w:ascii="仿宋_GB2312" w:eastAsia="仿宋_GB2312"/>
          <w:b/>
          <w:sz w:val="32"/>
          <w:szCs w:val="32"/>
        </w:rPr>
        <w:t>十四、机关运行经费：</w:t>
      </w:r>
      <w:r>
        <w:rPr>
          <w:rFonts w:ascii="仿宋_GB2312" w:eastAsia="仿宋_GB2312"/>
          <w:b w:val="0"/>
          <w:sz w:val="32"/>
          <w:szCs w:val="32"/>
        </w:rPr>
        <w:t>行政单位和参照公务员法管理的事业单位财政拨款基本支出中的公用经费支出。</w:t>
      </w:r>
    </w:p>
    <w:p>
      <w:pPr>
        <w:keepNext w:val="0"/>
        <w:keepLines w:val="0"/>
        <w:pageBreakBefore w:val="0"/>
        <w:widowControl/>
        <w:kinsoku/>
        <w:wordWrap/>
        <w:overflowPunct/>
        <w:topLinePunct w:val="0"/>
        <w:autoSpaceDE/>
        <w:autoSpaceDN/>
        <w:bidi w:val="0"/>
        <w:adjustRightInd/>
        <w:snapToGrid/>
        <w:spacing w:line="560" w:lineRule="exact"/>
        <w:textAlignment w:val="auto"/>
      </w:pPr>
      <w:r>
        <w:rPr>
          <w:b w:val="0"/>
          <w:sz w:val="0"/>
          <w:szCs w:val="0"/>
        </w:rPr>
        <w:br w:type="page"/>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center"/>
        <w:textAlignment w:val="auto"/>
        <w:outlineLvl w:val="0"/>
        <w:rPr>
          <w:rFonts w:ascii="黑体" w:eastAsia="黑体"/>
          <w:sz w:val="32"/>
          <w:szCs w:val="32"/>
        </w:rPr>
      </w:pPr>
      <w:r>
        <w:rPr>
          <w:rFonts w:ascii="黑体" w:eastAsia="黑体"/>
          <w:b w:val="0"/>
          <w:sz w:val="32"/>
          <w:szCs w:val="32"/>
        </w:rPr>
        <w:t>第四部分</w:t>
      </w:r>
      <w:r>
        <w:rPr>
          <w:rFonts w:hint="eastAsia" w:ascii="黑体" w:eastAsia="黑体"/>
          <w:b w:val="0"/>
          <w:sz w:val="32"/>
          <w:szCs w:val="32"/>
          <w:lang w:val="en-US" w:eastAsia="zh-CN"/>
        </w:rPr>
        <w:t xml:space="preserve"> </w:t>
      </w:r>
      <w:r>
        <w:rPr>
          <w:rFonts w:ascii="黑体" w:eastAsia="黑体"/>
          <w:b w:val="0"/>
          <w:sz w:val="32"/>
          <w:szCs w:val="32"/>
        </w:rPr>
        <w:t>部门决算报表（见</w:t>
      </w:r>
      <w:r>
        <w:rPr>
          <w:rFonts w:hint="eastAsia" w:ascii="黑体" w:eastAsia="黑体"/>
          <w:b w:val="0"/>
          <w:sz w:val="32"/>
          <w:szCs w:val="32"/>
          <w:lang w:val="en-US" w:eastAsia="zh-CN"/>
        </w:rPr>
        <w:t>附件1</w:t>
      </w:r>
      <w:r>
        <w:rPr>
          <w:rFonts w:ascii="黑体" w:eastAsia="黑体"/>
          <w:b w:val="0"/>
          <w:sz w:val="32"/>
          <w:szCs w:val="32"/>
        </w:rPr>
        <w:t>）</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一、《收入支出决算总表》</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二、《收入决算表》</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三、《支出决算表》</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四、《财政拨款收入支出决算总表》</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五、《一般公共预算财政拨款支出决算表》</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六、《一般公共预算财政拨款基本支出决算表》</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七、《政府性基金预算财政拨款收入支出决算表》</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仿宋_GB2312" w:eastAsia="仿宋_GB2312"/>
          <w:sz w:val="32"/>
          <w:szCs w:val="32"/>
        </w:rPr>
      </w:pPr>
      <w:r>
        <w:rPr>
          <w:rFonts w:ascii="仿宋_GB2312" w:eastAsia="仿宋_GB2312"/>
          <w:b w:val="0"/>
          <w:sz w:val="32"/>
          <w:szCs w:val="32"/>
        </w:rPr>
        <w:t>八、《国有资本经营预算财政拨款收入支出决算表》</w:t>
      </w: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outlineLvl w:val="1"/>
        <w:rPr>
          <w:rFonts w:ascii="仿宋_GB2312" w:eastAsia="仿宋_GB2312"/>
          <w:b w:val="0"/>
          <w:sz w:val="32"/>
          <w:szCs w:val="32"/>
        </w:rPr>
      </w:pPr>
      <w:r>
        <w:rPr>
          <w:rFonts w:ascii="仿宋_GB2312" w:eastAsia="仿宋_GB2312"/>
          <w:b w:val="0"/>
          <w:sz w:val="32"/>
          <w:szCs w:val="32"/>
        </w:rPr>
        <w:t>九、《财政拨款</w:t>
      </w:r>
      <w:r>
        <w:rPr>
          <w:rFonts w:hint="eastAsia" w:ascii="仿宋_GB2312" w:eastAsia="仿宋_GB2312"/>
          <w:b w:val="0"/>
          <w:sz w:val="32"/>
          <w:szCs w:val="32"/>
          <w:lang w:eastAsia="zh-CN"/>
        </w:rPr>
        <w:t>“</w:t>
      </w:r>
      <w:r>
        <w:rPr>
          <w:rFonts w:ascii="仿宋_GB2312" w:eastAsia="仿宋_GB2312"/>
          <w:b w:val="0"/>
          <w:sz w:val="32"/>
          <w:szCs w:val="32"/>
        </w:rPr>
        <w:t>三公</w:t>
      </w:r>
      <w:r>
        <w:rPr>
          <w:rFonts w:hint="eastAsia" w:ascii="仿宋_GB2312" w:eastAsia="仿宋_GB2312"/>
          <w:b w:val="0"/>
          <w:sz w:val="32"/>
          <w:szCs w:val="32"/>
          <w:lang w:eastAsia="zh-CN"/>
        </w:rPr>
        <w:t>”</w:t>
      </w:r>
      <w:r>
        <w:rPr>
          <w:rFonts w:ascii="仿宋_GB2312" w:eastAsia="仿宋_GB2312"/>
          <w:b w:val="0"/>
          <w:sz w:val="32"/>
          <w:szCs w:val="32"/>
        </w:rPr>
        <w:t>经费支出决算表》</w:t>
      </w:r>
    </w:p>
    <w:p>
      <w:pPr>
        <w:pStyle w:val="2"/>
      </w:pPr>
    </w:p>
    <w:p>
      <w:pPr>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center"/>
        <w:textAlignment w:val="auto"/>
        <w:outlineLvl w:val="0"/>
        <w:rPr>
          <w:rFonts w:ascii="黑体" w:eastAsia="黑体"/>
          <w:b w:val="0"/>
          <w:sz w:val="32"/>
          <w:szCs w:val="32"/>
        </w:rPr>
      </w:pPr>
      <w:r>
        <w:rPr>
          <w:rFonts w:ascii="黑体" w:eastAsia="黑体"/>
          <w:b w:val="0"/>
          <w:sz w:val="32"/>
          <w:szCs w:val="32"/>
        </w:rPr>
        <w:t>第</w:t>
      </w:r>
      <w:r>
        <w:rPr>
          <w:rFonts w:hint="eastAsia" w:ascii="黑体" w:eastAsia="黑体"/>
          <w:b w:val="0"/>
          <w:sz w:val="32"/>
          <w:szCs w:val="32"/>
          <w:lang w:val="en-US" w:eastAsia="zh-CN"/>
        </w:rPr>
        <w:t>五</w:t>
      </w:r>
      <w:r>
        <w:rPr>
          <w:rFonts w:ascii="黑体" w:eastAsia="黑体"/>
          <w:b w:val="0"/>
          <w:sz w:val="32"/>
          <w:szCs w:val="32"/>
        </w:rPr>
        <w:t>部分</w:t>
      </w:r>
      <w:r>
        <w:rPr>
          <w:rFonts w:hint="eastAsia" w:ascii="黑体" w:eastAsia="黑体"/>
          <w:b w:val="0"/>
          <w:sz w:val="32"/>
          <w:szCs w:val="32"/>
          <w:lang w:val="en-US" w:eastAsia="zh-CN"/>
        </w:rPr>
        <w:t xml:space="preserve"> 项目绩效自评表</w:t>
      </w:r>
      <w:r>
        <w:rPr>
          <w:rFonts w:ascii="黑体" w:eastAsia="黑体"/>
          <w:b w:val="0"/>
          <w:sz w:val="32"/>
          <w:szCs w:val="32"/>
        </w:rPr>
        <w:t>（见附</w:t>
      </w:r>
      <w:r>
        <w:rPr>
          <w:rFonts w:hint="eastAsia" w:ascii="黑体" w:eastAsia="黑体"/>
          <w:b w:val="0"/>
          <w:sz w:val="32"/>
          <w:szCs w:val="32"/>
          <w:lang w:val="en-US" w:eastAsia="zh-CN"/>
        </w:rPr>
        <w:t>件2</w:t>
      </w:r>
      <w:r>
        <w:rPr>
          <w:rFonts w:ascii="黑体" w:eastAsia="黑体"/>
          <w:b w:val="0"/>
          <w:sz w:val="32"/>
          <w:szCs w:val="32"/>
        </w:rPr>
        <w:t>）</w:t>
      </w:r>
    </w:p>
    <w:p>
      <w:pPr>
        <w:pStyle w:val="2"/>
      </w:pP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auto"/>
    <w:pitch w:val="default"/>
    <w:sig w:usb0="00000000" w:usb1="00000000" w:usb2="02000000" w:usb3="00000000" w:csb0="2000019F" w:csb1="00000000"/>
  </w:font>
  <w:font w:name="方正小标宋_GBK">
    <w:panose1 w:val="02000000000000000000"/>
    <w:charset w:val="86"/>
    <w:family w:val="script"/>
    <w:pitch w:val="default"/>
    <w:sig w:usb0="00000001" w:usb1="08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Noto Sans Syriac Eastern">
    <w:panose1 w:val="02040503050306020203"/>
    <w:charset w:val="86"/>
    <w:family w:val="auto"/>
    <w:pitch w:val="default"/>
    <w:sig w:usb0="00000000" w:usb1="00000000" w:usb2="00000080" w:usb3="00000000" w:csb0="203E0161" w:csb1="D7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isplayHorizontalDrawingGridEvery w:val="1"/>
  <w:displayVerticalDrawingGridEvery w:val="1"/>
  <w:noPunctuationKerning w:val="true"/>
  <w:footnotePr>
    <w:footnote w:id="0"/>
    <w:footnote w:id="1"/>
  </w:footnotePr>
  <w:endnotePr>
    <w:endnote w:id="0"/>
    <w:endnote w:id="1"/>
  </w:endnotePr>
  <w:compat>
    <w:doNotExpandShiftReturn/>
    <w:doNotWrapTextWithPunct/>
    <w:doNotUseEastAsianBreakRules/>
    <w:useFELayout/>
    <w:doNotUseIndentAsNumberingTabStop/>
    <w:compatSetting w:name="compatibilityMode" w:uri="http://schemas.microsoft.com/office/word" w:val="12"/>
    <w:compatSetting w:name="overrideTableStyleFontSizeAndJustification" w:uri="http://schemas.microsoft.com/office/word" w:val="1"/>
  </w:compat>
  <w:rsids>
    <w:rsidRoot w:val="00000000"/>
    <w:rsid w:val="008A58F4"/>
    <w:rsid w:val="048B3E34"/>
    <w:rsid w:val="053309E7"/>
    <w:rsid w:val="06A64F55"/>
    <w:rsid w:val="0CE71E24"/>
    <w:rsid w:val="0D2F7FD6"/>
    <w:rsid w:val="130C25E4"/>
    <w:rsid w:val="160E6673"/>
    <w:rsid w:val="19CF20E1"/>
    <w:rsid w:val="1C204A0A"/>
    <w:rsid w:val="202764B4"/>
    <w:rsid w:val="21134B3E"/>
    <w:rsid w:val="230F7587"/>
    <w:rsid w:val="23CE11F0"/>
    <w:rsid w:val="2BCB58E6"/>
    <w:rsid w:val="302A3C52"/>
    <w:rsid w:val="32604B27"/>
    <w:rsid w:val="341B4A8C"/>
    <w:rsid w:val="3BC20127"/>
    <w:rsid w:val="3D1140C2"/>
    <w:rsid w:val="3D385C1B"/>
    <w:rsid w:val="3E5E3444"/>
    <w:rsid w:val="3F15AF26"/>
    <w:rsid w:val="3F4F8337"/>
    <w:rsid w:val="467A1461"/>
    <w:rsid w:val="48A26623"/>
    <w:rsid w:val="4A9C3B5F"/>
    <w:rsid w:val="4E7330FA"/>
    <w:rsid w:val="50D23F05"/>
    <w:rsid w:val="53F5099E"/>
    <w:rsid w:val="5AFB1B5D"/>
    <w:rsid w:val="5B01367D"/>
    <w:rsid w:val="5B136F0D"/>
    <w:rsid w:val="5F781D95"/>
    <w:rsid w:val="630E2DDB"/>
    <w:rsid w:val="66427B3E"/>
    <w:rsid w:val="681E586F"/>
    <w:rsid w:val="69EB79D2"/>
    <w:rsid w:val="6E8509E0"/>
    <w:rsid w:val="71290DE0"/>
    <w:rsid w:val="723C32D9"/>
    <w:rsid w:val="727051DB"/>
    <w:rsid w:val="752C3901"/>
    <w:rsid w:val="774C75D7"/>
    <w:rsid w:val="7B0E4050"/>
    <w:rsid w:val="7BF82CE1"/>
    <w:rsid w:val="7C165AEB"/>
    <w:rsid w:val="7D2F46D0"/>
    <w:rsid w:val="7E456E4E"/>
    <w:rsid w:val="7EC01A4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qFormat="1" w:unhideWhenUsed="0" w:uiPriority="0" w:semiHidden="0" w:name="toc 2"/>
    <w:lsdException w:qFormat="1" w:unhideWhenUsed="0" w:uiPriority="0" w:semiHidden="0"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qFormat="1"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3">
    <w:name w:val="heading 1"/>
    <w:basedOn w:val="1"/>
    <w:next w:val="1"/>
    <w:link w:val="22"/>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2">
    <w:name w:val="heading 2"/>
    <w:basedOn w:val="1"/>
    <w:next w:val="1"/>
    <w:link w:val="23"/>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24"/>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5"/>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F81BD" w:themeColor="accent1"/>
      <w:sz w:val="18"/>
      <w:szCs w:val="18"/>
    </w:rPr>
  </w:style>
  <w:style w:type="paragraph" w:styleId="8">
    <w:name w:val="annotation text"/>
    <w:basedOn w:val="1"/>
    <w:semiHidden/>
    <w:unhideWhenUsed/>
    <w:qFormat/>
    <w:uiPriority w:val="99"/>
    <w:pPr>
      <w:jc w:val="left"/>
    </w:pPr>
  </w:style>
  <w:style w:type="paragraph" w:styleId="9">
    <w:name w:val="toc 3"/>
    <w:basedOn w:val="1"/>
    <w:next w:val="1"/>
    <w:qFormat/>
    <w:uiPriority w:val="0"/>
    <w:pPr>
      <w:ind w:left="840" w:leftChars="400"/>
    </w:pPr>
  </w:style>
  <w:style w:type="paragraph" w:styleId="10">
    <w:name w:val="header"/>
    <w:basedOn w:val="1"/>
    <w:link w:val="21"/>
    <w:unhideWhenUsed/>
    <w:qFormat/>
    <w:uiPriority w:val="99"/>
    <w:pPr>
      <w:tabs>
        <w:tab w:val="center" w:pos="4680"/>
        <w:tab w:val="right" w:pos="9360"/>
      </w:tabs>
    </w:pPr>
  </w:style>
  <w:style w:type="paragraph" w:styleId="11">
    <w:name w:val="toc 1"/>
    <w:basedOn w:val="1"/>
    <w:next w:val="1"/>
    <w:qFormat/>
    <w:uiPriority w:val="0"/>
  </w:style>
  <w:style w:type="paragraph" w:styleId="12">
    <w:name w:val="Subtitle"/>
    <w:basedOn w:val="1"/>
    <w:next w:val="1"/>
    <w:link w:val="26"/>
    <w:qFormat/>
    <w:uiPriority w:val="11"/>
    <w:pPr>
      <w:ind w:left="86"/>
    </w:pPr>
    <w:rPr>
      <w:rFonts w:asciiTheme="majorHAnsi" w:hAnsiTheme="majorHAnsi" w:eastAsiaTheme="majorEastAsia" w:cstheme="majorBidi"/>
      <w:i/>
      <w:iCs/>
      <w:color w:val="4F81BD" w:themeColor="accent1"/>
      <w:spacing w:val="15"/>
      <w:sz w:val="24"/>
      <w:szCs w:val="24"/>
    </w:rPr>
  </w:style>
  <w:style w:type="paragraph" w:styleId="13">
    <w:name w:val="toc 2"/>
    <w:basedOn w:val="1"/>
    <w:next w:val="1"/>
    <w:qFormat/>
    <w:uiPriority w:val="0"/>
    <w:pPr>
      <w:ind w:left="420" w:leftChars="200"/>
    </w:pPr>
  </w:style>
  <w:style w:type="paragraph" w:styleId="14">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5">
    <w:name w:val="Title"/>
    <w:basedOn w:val="1"/>
    <w:next w:val="1"/>
    <w:link w:val="27"/>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table" w:styleId="17">
    <w:name w:val="Table Grid"/>
    <w:basedOn w:val="16"/>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9">
    <w:name w:val="Emphasis"/>
    <w:basedOn w:val="18"/>
    <w:qFormat/>
    <w:uiPriority w:val="20"/>
    <w:rPr>
      <w:i/>
      <w:iCs/>
    </w:rPr>
  </w:style>
  <w:style w:type="character" w:styleId="20">
    <w:name w:val="Hyperlink"/>
    <w:basedOn w:val="18"/>
    <w:unhideWhenUsed/>
    <w:qFormat/>
    <w:uiPriority w:val="99"/>
    <w:rPr>
      <w:color w:val="0000FF" w:themeColor="hyperlink"/>
      <w:u w:val="single"/>
    </w:rPr>
  </w:style>
  <w:style w:type="character" w:customStyle="1" w:styleId="21">
    <w:name w:val="Header Char"/>
    <w:basedOn w:val="18"/>
    <w:link w:val="10"/>
    <w:qFormat/>
    <w:uiPriority w:val="99"/>
  </w:style>
  <w:style w:type="character" w:customStyle="1" w:styleId="22">
    <w:name w:val="Heading 1 Char"/>
    <w:basedOn w:val="18"/>
    <w:link w:val="3"/>
    <w:qFormat/>
    <w:uiPriority w:val="9"/>
    <w:rPr>
      <w:rFonts w:asciiTheme="majorHAnsi" w:hAnsiTheme="majorHAnsi" w:eastAsiaTheme="majorEastAsia" w:cstheme="majorBidi"/>
      <w:b/>
      <w:bCs/>
      <w:color w:val="366091" w:themeColor="accent1" w:themeShade="BF"/>
      <w:sz w:val="28"/>
      <w:szCs w:val="28"/>
    </w:rPr>
  </w:style>
  <w:style w:type="character" w:customStyle="1" w:styleId="23">
    <w:name w:val="Heading 2 Char"/>
    <w:basedOn w:val="18"/>
    <w:link w:val="2"/>
    <w:qFormat/>
    <w:uiPriority w:val="9"/>
    <w:rPr>
      <w:rFonts w:asciiTheme="majorHAnsi" w:hAnsiTheme="majorHAnsi" w:eastAsiaTheme="majorEastAsia" w:cstheme="majorBidi"/>
      <w:b/>
      <w:bCs/>
      <w:color w:val="4F81BD" w:themeColor="accent1"/>
      <w:sz w:val="26"/>
      <w:szCs w:val="26"/>
    </w:rPr>
  </w:style>
  <w:style w:type="character" w:customStyle="1" w:styleId="24">
    <w:name w:val="Heading 3 Char"/>
    <w:basedOn w:val="18"/>
    <w:link w:val="4"/>
    <w:qFormat/>
    <w:uiPriority w:val="9"/>
    <w:rPr>
      <w:rFonts w:asciiTheme="majorHAnsi" w:hAnsiTheme="majorHAnsi" w:eastAsiaTheme="majorEastAsia" w:cstheme="majorBidi"/>
      <w:b/>
      <w:bCs/>
      <w:color w:val="4F81BD" w:themeColor="accent1"/>
    </w:rPr>
  </w:style>
  <w:style w:type="character" w:customStyle="1" w:styleId="25">
    <w:name w:val="Heading 4 Char"/>
    <w:basedOn w:val="18"/>
    <w:link w:val="5"/>
    <w:qFormat/>
    <w:uiPriority w:val="9"/>
    <w:rPr>
      <w:rFonts w:asciiTheme="majorHAnsi" w:hAnsiTheme="majorHAnsi" w:eastAsiaTheme="majorEastAsia" w:cstheme="majorBidi"/>
      <w:b/>
      <w:bCs/>
      <w:i/>
      <w:iCs/>
      <w:color w:val="4F81BD" w:themeColor="accent1"/>
    </w:rPr>
  </w:style>
  <w:style w:type="character" w:customStyle="1" w:styleId="26">
    <w:name w:val="Subtitle Char"/>
    <w:basedOn w:val="18"/>
    <w:link w:val="12"/>
    <w:qFormat/>
    <w:uiPriority w:val="11"/>
    <w:rPr>
      <w:rFonts w:asciiTheme="majorHAnsi" w:hAnsiTheme="majorHAnsi" w:eastAsiaTheme="majorEastAsia" w:cstheme="majorBidi"/>
      <w:i/>
      <w:iCs/>
      <w:color w:val="4F81BD" w:themeColor="accent1"/>
      <w:spacing w:val="15"/>
      <w:sz w:val="24"/>
      <w:szCs w:val="24"/>
    </w:rPr>
  </w:style>
  <w:style w:type="character" w:customStyle="1" w:styleId="27">
    <w:name w:val="Title Char"/>
    <w:basedOn w:val="18"/>
    <w:link w:val="15"/>
    <w:qFormat/>
    <w:uiPriority w:val="10"/>
    <w:rPr>
      <w:rFonts w:asciiTheme="majorHAnsi" w:hAnsiTheme="majorHAnsi" w:eastAsiaTheme="majorEastAsia" w:cstheme="majorBidi"/>
      <w:color w:val="17365D" w:themeColor="text2" w:themeShade="BF"/>
      <w:spacing w:val="5"/>
      <w:kern w:val="28"/>
      <w:sz w:val="52"/>
      <w:szCs w:val="5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17</Pages>
  <Words>6275</Words>
  <Characters>7041</Characters>
  <TotalTime>8</TotalTime>
  <ScaleCrop>false</ScaleCrop>
  <LinksUpToDate>false</LinksUpToDate>
  <CharactersWithSpaces>7051</CharactersWithSpaces>
  <Application>WPS Office_11.8.2.10251_F1E327BC-269C-435d-A152-05C5408002CA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2025-08-19T11:13:00Z</dcterms:created>
  <dc:creator>王熙雅</dc:creator>
  <cp:lastModifiedBy>wlt</cp:lastModifiedBy>
  <dcterms:modified xsi:type="dcterms:W3CDTF">2025-08-28T12:20:02Z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eyJoZGlkIjoiN2VjY2I5ZjNhYWRkMGM2NGQyNzU3NTI4YWVlNGYxNTkiLCJ1c2VySWQiOiI0NTAwNzY5NzMifQ==</vt:lpwstr>
  </property>
  <property fmtid="{D5CDD505-2E9C-101B-9397-08002B2CF9AE}" pid="3" name="KSOProductBuildVer">
    <vt:lpwstr>2052-11.8.2.10251</vt:lpwstr>
  </property>
  <property fmtid="{D5CDD505-2E9C-101B-9397-08002B2CF9AE}" pid="4" name="ICV">
    <vt:lpwstr>72AAD5819C04496AAA2E02FEE4FF6E40_12</vt:lpwstr>
  </property>
</Properties>
</file>